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83" w:rsidRDefault="002C2783">
      <w:pPr>
        <w:rPr>
          <w:rFonts w:hint="eastAsia"/>
        </w:rPr>
      </w:pPr>
    </w:p>
    <w:p w:rsidR="002C2783" w:rsidRDefault="000020FF" w:rsidP="00B415B2">
      <w:pPr>
        <w:jc w:val="center"/>
        <w:rPr>
          <w:rFonts w:hint="eastAsia"/>
        </w:rPr>
      </w:pPr>
      <w:r>
        <w:rPr>
          <w:noProof/>
          <w:lang w:eastAsia="fr-FR" w:bidi="ar-SA"/>
        </w:rPr>
        <w:drawing>
          <wp:inline distT="0" distB="0" distL="0" distR="0">
            <wp:extent cx="1018540" cy="469900"/>
            <wp:effectExtent l="0" t="0" r="0" b="0"/>
            <wp:docPr id="1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83" w:rsidRDefault="002C2783">
      <w:pPr>
        <w:jc w:val="center"/>
        <w:rPr>
          <w:rFonts w:hint="eastAsia"/>
          <w:sz w:val="10"/>
          <w:szCs w:val="10"/>
        </w:rPr>
      </w:pPr>
    </w:p>
    <w:p w:rsidR="002C2783" w:rsidRDefault="000020FF">
      <w:pPr>
        <w:pStyle w:val="Corpsdetexte"/>
        <w:spacing w:after="156" w:line="240" w:lineRule="auto"/>
        <w:jc w:val="center"/>
        <w:rPr>
          <w:rFonts w:hint="eastAsia"/>
        </w:rPr>
      </w:pPr>
      <w:r>
        <w:rPr>
          <w:noProof/>
          <w:lang w:eastAsia="fr-FR" w:bidi="ar-SA"/>
        </w:rPr>
        <w:drawing>
          <wp:inline distT="0" distB="0" distL="0" distR="0">
            <wp:extent cx="2114550" cy="200025"/>
            <wp:effectExtent l="0" t="0" r="0" b="0"/>
            <wp:docPr id="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83" w:rsidRDefault="000020FF">
      <w:pPr>
        <w:pStyle w:val="Corpsdetexte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FICHE DE POSTE</w:t>
      </w:r>
    </w:p>
    <w:p w:rsidR="002C2783" w:rsidRDefault="000020FF">
      <w:pPr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Tous les postes du Ministère de la culture et de ses établissements</w:t>
      </w:r>
      <w:r>
        <w:rPr>
          <w:b/>
          <w:bCs/>
          <w:sz w:val="21"/>
          <w:szCs w:val="21"/>
        </w:rPr>
        <w:br/>
        <w:t xml:space="preserve"> sont ouverts aux personnes reconnues comme </w:t>
      </w:r>
      <w:proofErr w:type="spellStart"/>
      <w:r>
        <w:rPr>
          <w:b/>
          <w:bCs/>
          <w:sz w:val="21"/>
          <w:szCs w:val="21"/>
        </w:rPr>
        <w:t>travailleur.se.s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handicapé.e.s</w:t>
      </w:r>
      <w:proofErr w:type="spellEnd"/>
    </w:p>
    <w:p w:rsidR="002C2783" w:rsidRDefault="002C2783">
      <w:pPr>
        <w:jc w:val="center"/>
        <w:rPr>
          <w:rFonts w:hint="eastAsia"/>
          <w:b/>
          <w:bCs/>
          <w:sz w:val="21"/>
          <w:szCs w:val="21"/>
        </w:rPr>
      </w:pPr>
    </w:p>
    <w:p w:rsidR="002C2783" w:rsidRDefault="002C2783">
      <w:pPr>
        <w:rPr>
          <w:rFonts w:hint="eastAsia"/>
          <w:b/>
          <w:bCs/>
          <w:sz w:val="21"/>
          <w:szCs w:val="21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6326"/>
        <w:gridCol w:w="141"/>
        <w:gridCol w:w="3970"/>
      </w:tblGrid>
      <w:tr w:rsidR="002C2783">
        <w:trPr>
          <w:trHeight w:val="301"/>
        </w:trPr>
        <w:tc>
          <w:tcPr>
            <w:tcW w:w="6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Pr="00B415B2" w:rsidRDefault="000020FF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r>
              <w:rPr>
                <w:b/>
                <w:bCs/>
              </w:rPr>
              <w:t>Intitulé du poste (F/H</w:t>
            </w:r>
            <w:proofErr w:type="gramStart"/>
            <w:r>
              <w:rPr>
                <w:b/>
                <w:bCs/>
              </w:rPr>
              <w:t>):</w:t>
            </w:r>
            <w:proofErr w:type="gramEnd"/>
            <w:r w:rsidR="00B415B2">
              <w:rPr>
                <w:b/>
                <w:bCs/>
              </w:rPr>
              <w:t xml:space="preserve"> </w:t>
            </w:r>
            <w:r w:rsidR="00B415B2" w:rsidRPr="00B415B2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Gestionnaire administratif(</w:t>
            </w:r>
            <w:proofErr w:type="spellStart"/>
            <w:r w:rsidR="00B415B2" w:rsidRPr="00B415B2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ve</w:t>
            </w:r>
            <w:proofErr w:type="spellEnd"/>
            <w:r w:rsidR="00B415B2" w:rsidRPr="00B415B2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) et financier(e)</w:t>
            </w:r>
          </w:p>
          <w:p w:rsidR="00B415B2" w:rsidRPr="00B415B2" w:rsidRDefault="00B415B2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</w:p>
          <w:p w:rsidR="00B415B2" w:rsidRPr="00B415B2" w:rsidRDefault="00B415B2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Temps complet</w:t>
            </w:r>
          </w:p>
          <w:p w:rsidR="00B415B2" w:rsidRDefault="00B415B2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41" w:type="dxa"/>
            <w:tcBorders>
              <w:lef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2C2783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Pr="00B415B2" w:rsidRDefault="000020FF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Catégorie statutaire :</w:t>
            </w:r>
            <w:r w:rsidR="00B415B2"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B</w:t>
            </w:r>
          </w:p>
          <w:p w:rsidR="00B415B2" w:rsidRDefault="000020FF" w:rsidP="00B415B2">
            <w:pPr>
              <w:pStyle w:val="TableContentsuser"/>
              <w:snapToGrid w:val="0"/>
              <w:rPr>
                <w:rFonts w:hint="eastAsia"/>
                <w:b/>
              </w:rPr>
            </w:pPr>
            <w:r>
              <w:rPr>
                <w:b/>
                <w:bCs/>
              </w:rPr>
              <w:br/>
            </w:r>
            <w:r w:rsidR="00B415B2" w:rsidRPr="00B415B2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Contrat à durée déterminée de 12 mois</w:t>
            </w:r>
            <w:r w:rsidR="00B415B2" w:rsidRPr="00B415B2">
              <w:rPr>
                <w:b/>
              </w:rPr>
              <w:t xml:space="preserve"> </w:t>
            </w:r>
          </w:p>
          <w:p w:rsidR="002C2783" w:rsidRPr="00B415B2" w:rsidRDefault="002C2783" w:rsidP="00B415B2">
            <w:pPr>
              <w:rPr>
                <w:rFonts w:hint="eastAsia"/>
              </w:rPr>
            </w:pPr>
          </w:p>
        </w:tc>
      </w:tr>
    </w:tbl>
    <w:p w:rsidR="002C2783" w:rsidRDefault="002C2783">
      <w:pPr>
        <w:pStyle w:val="TableContents"/>
        <w:rPr>
          <w:rFonts w:hint="eastAsia"/>
          <w:sz w:val="12"/>
          <w:szCs w:val="12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 xml:space="preserve">Domaine(s) Fonctionnel(s) 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 w:rsidR="00B415B2"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Affaires générales</w:t>
            </w:r>
          </w:p>
          <w:p w:rsidR="002C2783" w:rsidRDefault="002C2783">
            <w:pPr>
              <w:pStyle w:val="TableContents"/>
              <w:snapToGrid w:val="0"/>
              <w:rPr>
                <w:rFonts w:hint="eastAsia"/>
              </w:rPr>
            </w:pPr>
          </w:p>
        </w:tc>
      </w:tr>
    </w:tbl>
    <w:p w:rsidR="002C2783" w:rsidRPr="0092467B" w:rsidRDefault="002C2783">
      <w:pPr>
        <w:pStyle w:val="TableContents"/>
        <w:rPr>
          <w:rFonts w:hint="eastAsia"/>
          <w:sz w:val="12"/>
          <w:szCs w:val="12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 xml:space="preserve">Emploi(s) Type </w:t>
            </w:r>
            <w:r>
              <w:t xml:space="preserve">: </w:t>
            </w:r>
            <w:r w:rsidR="00B415B2"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Assistant administratif – ADM05</w:t>
            </w:r>
          </w:p>
          <w:p w:rsidR="002C2783" w:rsidRDefault="002C2783">
            <w:pPr>
              <w:pStyle w:val="TableContents"/>
              <w:snapToGrid w:val="0"/>
              <w:rPr>
                <w:rFonts w:hint="eastAsia"/>
              </w:rPr>
            </w:pPr>
          </w:p>
        </w:tc>
      </w:tr>
    </w:tbl>
    <w:p w:rsidR="002C2783" w:rsidRPr="0092467B" w:rsidRDefault="002C2783">
      <w:pPr>
        <w:pStyle w:val="TableContents"/>
        <w:rPr>
          <w:rFonts w:hint="eastAsia"/>
          <w:sz w:val="16"/>
          <w:szCs w:val="16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Adresse administrative et géographique de l’affectation :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B415B2" w:rsidRPr="00B415B2" w:rsidRDefault="00B415B2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Ecole nationale supérieure d’architecture de Paris La Villette </w:t>
            </w:r>
          </w:p>
          <w:p w:rsidR="00B415B2" w:rsidRPr="00B415B2" w:rsidRDefault="00B415B2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144, avenue de Flandre</w:t>
            </w:r>
          </w:p>
          <w:p w:rsidR="002C2783" w:rsidRPr="00B415B2" w:rsidRDefault="00B415B2" w:rsidP="00B415B2">
            <w:pPr>
              <w:pStyle w:val="TableContentsuser"/>
              <w:snapToGrid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75019 Paris </w:t>
            </w:r>
          </w:p>
          <w:p w:rsidR="0092467B" w:rsidRDefault="0092467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2C2783" w:rsidRDefault="002C2783">
      <w:pPr>
        <w:pStyle w:val="TableContents"/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Missions et activités principales :</w:t>
            </w:r>
          </w:p>
          <w:p w:rsidR="002C2783" w:rsidRDefault="002C2783">
            <w:pPr>
              <w:pStyle w:val="TableContents"/>
              <w:tabs>
                <w:tab w:val="left" w:pos="720"/>
              </w:tabs>
              <w:rPr>
                <w:rFonts w:hint="eastAsia"/>
              </w:rPr>
            </w:pP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Placé(e) sous la responsabilité hiérarchique de la responsable du service de la recherche, il/elle sera en charge d'assurer la gestion administrative et </w:t>
            </w:r>
            <w:r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financière </w:t>
            </w:r>
            <w:r w:rsidR="00DC21B4"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du service</w:t>
            </w:r>
            <w:r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,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des unités de recherche, des projets et conventions de recherche de l'établissement. Ces activités se feront dans le strict respect des techniques, règles, procédures, statuts et règlement intérieur à l'ENSAPLV.</w:t>
            </w:r>
          </w:p>
          <w:p w:rsidR="00B415B2" w:rsidRDefault="00B415B2">
            <w:pPr>
              <w:pStyle w:val="TableContents"/>
              <w:tabs>
                <w:tab w:val="left" w:pos="720"/>
              </w:tabs>
              <w:rPr>
                <w:rFonts w:hint="eastAsia"/>
              </w:rPr>
            </w:pP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Gestion administrative :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-Accueillir, informer les personnels des laboratoires de recherche de l'établissement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(6 laboratoires)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-Suivi administratif des contrats de recherche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-Rédiger des notes et du courrier administratif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-Suivi des personnels contractuels recrutés dans le cadre des contrats de recherche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, en lien avec le service des ressources humaines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-Gérer les contrats en liaison avec les partenaires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-Gestion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du courrier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-Mise à jour la bases de données institutionnelle (modules Taïga recherche/doctorat)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fr-FR" w:bidi="ar-SA"/>
              </w:rPr>
              <w:t>Gestion financière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: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-Procéder aux opérations d'engagement, aux missions, service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s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fait...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Gérer les crédits et suivre les dépenses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-Suivre les relations avec les fournisseurs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</w:t>
            </w:r>
            <w:r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Utiliser, renseigner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, gérer et analyser les conventions, projets et budgets dans le logiciel WinN9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-Suivi financier des contrats de recherche, des missions, des achats d'équipement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-En collaboration avec le service financier de l'établissement, assurer le contrôle financier des équipes. Contrôle et analyse de la répartition budgétaire et de son exécution, établissement d’un bilan annuel.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</w:tc>
      </w:tr>
    </w:tbl>
    <w:p w:rsidR="002C2783" w:rsidRDefault="002C2783">
      <w:pPr>
        <w:pStyle w:val="TableContents"/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 xml:space="preserve">Compétences principales mises en œuvre : </w:t>
            </w:r>
            <w:r>
              <w:rPr>
                <w:b/>
                <w:bCs/>
                <w:sz w:val="16"/>
                <w:szCs w:val="16"/>
              </w:rPr>
              <w:t>(cotés  sur 4 niveaux initié – pratique – maîtrise - expert)</w:t>
            </w:r>
          </w:p>
        </w:tc>
      </w:tr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Compétences techniques :</w:t>
            </w:r>
          </w:p>
          <w:p w:rsidR="004E4291" w:rsidRDefault="004E4291">
            <w:pPr>
              <w:pStyle w:val="TableContents"/>
              <w:snapToGrid w:val="0"/>
              <w:rPr>
                <w:rFonts w:hint="eastAsia"/>
                <w:b/>
                <w:bCs/>
                <w:u w:val="single"/>
              </w:rPr>
            </w:pP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Organisation et fonctionnement des établissements publics à caractère administratif/enseignement supérieur.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lastRenderedPageBreak/>
              <w:t>- Bonne connaissance des techniques de gestion administrative.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Bonne connaissance de la réglementation et des procédures relatives à la gestion de laboratoires et de conventions de recherche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</w:tc>
      </w:tr>
      <w:tr w:rsidR="002C2783">
        <w:tc>
          <w:tcPr>
            <w:tcW w:w="10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Savoir-faire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4E4291" w:rsidRDefault="0078445F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- </w:t>
            </w:r>
            <w:r w:rsid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M</w:t>
            </w:r>
            <w:r w:rsidR="00A66892"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aitrise des logiciels </w:t>
            </w:r>
            <w:proofErr w:type="spellStart"/>
            <w:r w:rsidR="00A66892"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Calc</w:t>
            </w:r>
            <w:proofErr w:type="spellEnd"/>
            <w:r w:rsidR="00A66892" w:rsidRPr="00A6689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et Excel pour l'élaboration des tableaux de bord</w:t>
            </w:r>
          </w:p>
          <w:p w:rsidR="00B415B2" w:rsidRPr="00B415B2" w:rsidRDefault="0078445F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- </w:t>
            </w:r>
            <w:r w:rsidR="00A562B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Travailler</w:t>
            </w:r>
            <w:r w:rsidR="00B415B2"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en mode projet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Connaissance juridique générale (notamment droit des contrats et conventions)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Bonnes qualités rédactionnelles</w:t>
            </w:r>
          </w:p>
          <w:p w:rsidR="00B415B2" w:rsidRPr="00B415B2" w:rsidRDefault="00B415B2" w:rsidP="00B415B2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- </w:t>
            </w:r>
            <w:r w:rsid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A</w:t>
            </w:r>
            <w:r w:rsidRPr="00B415B2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nglais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2C2783" w:rsidRDefault="002C2783">
            <w:pPr>
              <w:pStyle w:val="TableContents"/>
              <w:rPr>
                <w:rFonts w:hint="eastAsia"/>
                <w:u w:val="single"/>
              </w:rPr>
            </w:pPr>
          </w:p>
        </w:tc>
      </w:tr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  <w:u w:val="single"/>
              </w:rPr>
              <w:t xml:space="preserve">Savoir-être </w:t>
            </w:r>
            <w:r>
              <w:rPr>
                <w:b/>
                <w:bCs/>
                <w:sz w:val="16"/>
                <w:szCs w:val="16"/>
                <w:u w:val="single"/>
              </w:rPr>
              <w:t>(compétences comportementales)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Rigueur et sens de l’organisation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Réactivité et polyvalence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Sens relationnel et de la communication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Capacité à travailler en autonomie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Capacité à gérer les aléas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Capacité à anticiper les échéances, planifier et respecter les délais.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Sens de la confidentialité</w:t>
            </w:r>
          </w:p>
          <w:p w:rsidR="004E4291" w:rsidRPr="004E4291" w:rsidRDefault="004E4291" w:rsidP="004E4291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4E42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- Savoir rendre compte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</w:tc>
      </w:tr>
    </w:tbl>
    <w:p w:rsidR="002C2783" w:rsidRDefault="002C2783">
      <w:pPr>
        <w:pStyle w:val="TableContents"/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  <w:u w:val="single"/>
              </w:rPr>
              <w:t xml:space="preserve">Environnement professionnel : 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A562B7" w:rsidRPr="00A562B7" w:rsidRDefault="00A562B7" w:rsidP="00A562B7">
            <w:pPr>
              <w:tabs>
                <w:tab w:val="left" w:pos="720"/>
              </w:tabs>
              <w:suppressAutoHyphens/>
              <w:autoSpaceDN w:val="0"/>
              <w:snapToGrid w:val="0"/>
              <w:spacing w:line="288" w:lineRule="auto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A562B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L'Ecole Nationale Supérieure d'Architecture de Paris La Villette (ENSAPLV) est la plus importante par le nombre de ses étudiants (2300 étudiants) parmi les 20 écoles d'architecture habilitées en France (dont 6 en région parisienne). Elle assume l’ensemble des missions dévolues aux écoles d’architecture, de la formation initiale à l’échange des savoirs et pratiques au sein de la communauté scientifique et culturelle internationale. </w:t>
            </w:r>
          </w:p>
          <w:p w:rsidR="00A562B7" w:rsidRPr="00A562B7" w:rsidRDefault="00A562B7" w:rsidP="00A562B7">
            <w:pPr>
              <w:tabs>
                <w:tab w:val="left" w:pos="720"/>
              </w:tabs>
              <w:suppressAutoHyphens/>
              <w:autoSpaceDN w:val="0"/>
              <w:snapToGrid w:val="0"/>
              <w:spacing w:line="288" w:lineRule="auto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</w:p>
          <w:p w:rsidR="00A562B7" w:rsidRPr="00A562B7" w:rsidRDefault="00A562B7" w:rsidP="00A562B7">
            <w:pPr>
              <w:tabs>
                <w:tab w:val="left" w:pos="720"/>
              </w:tabs>
              <w:suppressAutoHyphens/>
              <w:autoSpaceDN w:val="0"/>
              <w:snapToGrid w:val="0"/>
              <w:spacing w:line="288" w:lineRule="auto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A562B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L'ENSAPLV est un établissement public à caractère administratif sous la tutelle du Ministère de la Culture, Direction générale des patrimoines. Doté d’un budget de plus d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e 7M€, l’établissement compte 73</w:t>
            </w:r>
            <w:r w:rsidRPr="00A562B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personnels administratif, technique et scientifique, environ 250 enseignants titulaires et contractuels et 200 vacataires. L’ENSAPLV est membre fondateur de la COMUE </w:t>
            </w:r>
            <w:proofErr w:type="spellStart"/>
            <w:r w:rsidRPr="00A562B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Hesam</w:t>
            </w:r>
            <w:proofErr w:type="spellEnd"/>
            <w:r w:rsidRPr="00A562B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Université. </w:t>
            </w:r>
          </w:p>
          <w:p w:rsidR="0092467B" w:rsidRDefault="0092467B">
            <w:pPr>
              <w:pStyle w:val="TableContents"/>
              <w:rPr>
                <w:rFonts w:hint="eastAsia"/>
              </w:rPr>
            </w:pPr>
          </w:p>
          <w:p w:rsidR="002C2783" w:rsidRDefault="000020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Dans le cadre de sa stratégie de Responsabilité Sociale des Organisations (RSO), le Ministère de la Culture et ses établissements publics s’engagent à promouvoir l’égalité professionnelle et la prévention des discriminations dans leurs activités de recrutement. Une cellule d’écoute, d’alerte et de traitement est mise à la disposition des candidats ou des agents qui estimeraient avoir fait l’objet d’une rupture d’égalité de traitemen</w:t>
            </w:r>
            <w:r>
              <w:rPr>
                <w:rFonts w:ascii="Times New Roman" w:hAnsi="Times New Roman"/>
                <w:sz w:val="22"/>
                <w:szCs w:val="22"/>
              </w:rPr>
              <w:t>t </w:t>
            </w:r>
          </w:p>
          <w:p w:rsidR="0092467B" w:rsidRDefault="0092467B" w:rsidP="0092467B">
            <w:pPr>
              <w:pStyle w:val="TableContents"/>
              <w:tabs>
                <w:tab w:val="left" w:pos="1455"/>
              </w:tabs>
              <w:ind w:right="5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</w:p>
          <w:p w:rsidR="002C2783" w:rsidRDefault="000020FF">
            <w:pPr>
              <w:pStyle w:val="TableContents"/>
              <w:rPr>
                <w:rFonts w:hint="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Liaisons hiérarchiques :</w:t>
            </w:r>
            <w:r w:rsidR="00A562B7">
              <w:rPr>
                <w:b/>
                <w:bCs/>
                <w:i/>
                <w:iCs/>
                <w:sz w:val="20"/>
                <w:szCs w:val="20"/>
              </w:rPr>
              <w:t xml:space="preserve"> Madame </w:t>
            </w:r>
            <w:proofErr w:type="spellStart"/>
            <w:r w:rsidR="00A562B7">
              <w:rPr>
                <w:b/>
                <w:bCs/>
                <w:i/>
                <w:iCs/>
                <w:sz w:val="20"/>
                <w:szCs w:val="20"/>
              </w:rPr>
              <w:t>Rosaly</w:t>
            </w:r>
            <w:proofErr w:type="spellEnd"/>
            <w:r w:rsidR="00A562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2B7">
              <w:rPr>
                <w:b/>
                <w:bCs/>
                <w:i/>
                <w:iCs/>
                <w:sz w:val="20"/>
                <w:szCs w:val="20"/>
              </w:rPr>
              <w:t>Datchi</w:t>
            </w:r>
            <w:proofErr w:type="spellEnd"/>
            <w:r w:rsidR="00A562B7">
              <w:rPr>
                <w:b/>
                <w:bCs/>
                <w:i/>
                <w:iCs/>
                <w:sz w:val="20"/>
                <w:szCs w:val="20"/>
              </w:rPr>
              <w:t>, responsable du service de la recherche</w:t>
            </w:r>
          </w:p>
          <w:p w:rsidR="002C2783" w:rsidRDefault="002C2783">
            <w:pPr>
              <w:pStyle w:val="TableContents"/>
              <w:tabs>
                <w:tab w:val="left" w:pos="1455"/>
              </w:tabs>
              <w:ind w:left="485" w:right="5"/>
              <w:rPr>
                <w:rFonts w:hint="eastAsia"/>
              </w:rPr>
            </w:pPr>
          </w:p>
          <w:p w:rsidR="002C2783" w:rsidRDefault="000020FF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Liaisons fonctionnelles :</w:t>
            </w:r>
            <w:r w:rsidR="00A562B7">
              <w:rPr>
                <w:b/>
                <w:bCs/>
                <w:i/>
                <w:iCs/>
                <w:sz w:val="20"/>
                <w:szCs w:val="20"/>
              </w:rPr>
              <w:t xml:space="preserve"> le service financier, les laboratoires de recherche, les enseignants-chercheurs et le service des ressources humaines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</w:tc>
      </w:tr>
    </w:tbl>
    <w:p w:rsidR="002C2783" w:rsidRDefault="002C2783">
      <w:pPr>
        <w:pStyle w:val="TableContents"/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Perspectives d'évolution :</w:t>
            </w:r>
          </w:p>
        </w:tc>
      </w:tr>
    </w:tbl>
    <w:p w:rsidR="002C2783" w:rsidRDefault="002C2783">
      <w:pPr>
        <w:pStyle w:val="TableContents"/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Spécificités du poste / Contraintes / Sujétions :</w:t>
            </w:r>
          </w:p>
          <w:p w:rsidR="00B415B2" w:rsidRDefault="00B415B2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</w:p>
          <w:p w:rsidR="00B415B2" w:rsidRPr="00DC21B4" w:rsidRDefault="00B415B2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Les vacances scolaires de Noël, de Printemps et d’été donnent lieu à la fermeture de l’établissement et à la prise de congés obligatoires des agents sur ces périodes.</w:t>
            </w:r>
          </w:p>
        </w:tc>
      </w:tr>
    </w:tbl>
    <w:p w:rsidR="002C2783" w:rsidRDefault="002C2783">
      <w:pPr>
        <w:pStyle w:val="TableContents"/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Profil du candidat recherché (le cas échéant)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2C2783" w:rsidRDefault="00B415B2">
            <w:pPr>
              <w:pStyle w:val="TableContents"/>
              <w:rPr>
                <w:rFonts w:hint="eastAsia"/>
              </w:rPr>
            </w:pPr>
            <w:r>
              <w:t>Candidat(e) ayant une expérience dans le suivi budgétaire</w:t>
            </w:r>
          </w:p>
        </w:tc>
      </w:tr>
    </w:tbl>
    <w:p w:rsidR="002C2783" w:rsidRDefault="002C2783">
      <w:pPr>
        <w:rPr>
          <w:rFonts w:hint="eastAsia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Qui contacter ?</w:t>
            </w:r>
          </w:p>
          <w:p w:rsidR="002C2783" w:rsidRDefault="002C2783">
            <w:pPr>
              <w:pStyle w:val="TableContents"/>
              <w:rPr>
                <w:rFonts w:hint="eastAsia"/>
              </w:rPr>
            </w:pPr>
          </w:p>
          <w:p w:rsidR="00B415B2" w:rsidRDefault="00B415B2" w:rsidP="00B415B2">
            <w:pPr>
              <w:pStyle w:val="TableContentsuser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Informations sur le poste :</w:t>
            </w:r>
          </w:p>
          <w:p w:rsidR="00B415B2" w:rsidRDefault="00B415B2" w:rsidP="00B415B2">
            <w:pPr>
              <w:pStyle w:val="TableContentsuser"/>
              <w:rPr>
                <w:rFonts w:hint="eastAsia"/>
                <w:b/>
                <w:bCs/>
              </w:rPr>
            </w:pPr>
          </w:p>
          <w:p w:rsidR="00B415B2" w:rsidRPr="00DC21B4" w:rsidRDefault="00B415B2" w:rsidP="00B415B2">
            <w:pPr>
              <w:pStyle w:val="TableContentsus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Madame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Rosaly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 DATCHI, responsable du service de la recherche</w:t>
            </w:r>
          </w:p>
          <w:p w:rsidR="00B415B2" w:rsidRPr="00DC21B4" w:rsidRDefault="001C3E6C" w:rsidP="00B415B2">
            <w:pPr>
              <w:pStyle w:val="TableContentsus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hyperlink r:id="rId7" w:history="1">
              <w:r w:rsidR="00B415B2" w:rsidRPr="00DC21B4">
                <w:rPr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fr-FR" w:bidi="ar-SA"/>
                </w:rPr>
                <w:t>rosaly.datchi@paris-lavillette.archi.fr</w:t>
              </w:r>
            </w:hyperlink>
            <w:r w:rsidR="00B415B2"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   01 44 65 23 45</w:t>
            </w:r>
          </w:p>
          <w:p w:rsidR="00B415B2" w:rsidRDefault="00B415B2" w:rsidP="00B415B2">
            <w:pPr>
              <w:pStyle w:val="TableContentsuser"/>
              <w:rPr>
                <w:rFonts w:hint="eastAsia"/>
                <w:b/>
                <w:bCs/>
              </w:rPr>
            </w:pPr>
          </w:p>
          <w:p w:rsidR="00B415B2" w:rsidRPr="00DC21B4" w:rsidRDefault="00B415B2" w:rsidP="00B415B2">
            <w:pPr>
              <w:pStyle w:val="TableContentsus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Madame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Vincentella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 DE COMARMOND, directrice adjointe</w:t>
            </w:r>
          </w:p>
          <w:p w:rsidR="00B415B2" w:rsidRPr="00DC21B4" w:rsidRDefault="001C3E6C" w:rsidP="00B415B2">
            <w:pPr>
              <w:pStyle w:val="TableContentsus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hyperlink r:id="rId8" w:history="1">
              <w:r w:rsidR="00B415B2" w:rsidRPr="00DC21B4">
                <w:rPr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fr-FR" w:bidi="ar-SA"/>
                </w:rPr>
                <w:t>vincentella.decomarmond@paris-lavillette.archi.fr</w:t>
              </w:r>
            </w:hyperlink>
            <w:r w:rsidR="00B415B2"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    01 44 61 23 28 (secrétariat de direction)</w:t>
            </w:r>
          </w:p>
          <w:p w:rsidR="00B415B2" w:rsidRDefault="00B415B2" w:rsidP="00B415B2">
            <w:pPr>
              <w:pStyle w:val="TableContentsuser"/>
              <w:rPr>
                <w:rFonts w:hint="eastAsia"/>
                <w:b/>
                <w:bCs/>
              </w:rPr>
            </w:pPr>
          </w:p>
          <w:p w:rsidR="00B415B2" w:rsidRDefault="00B415B2" w:rsidP="00B415B2">
            <w:pPr>
              <w:pStyle w:val="TableContentsuser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Informations administratives : </w:t>
            </w:r>
          </w:p>
          <w:p w:rsidR="00B415B2" w:rsidRDefault="00B415B2" w:rsidP="00B415B2">
            <w:pPr>
              <w:pStyle w:val="TableContentsuser"/>
              <w:rPr>
                <w:rFonts w:hint="eastAsia"/>
                <w:b/>
                <w:bCs/>
              </w:rPr>
            </w:pPr>
          </w:p>
          <w:p w:rsidR="00B415B2" w:rsidRPr="00DC21B4" w:rsidRDefault="00B415B2" w:rsidP="00B415B2">
            <w:pPr>
              <w:pStyle w:val="TableContentsus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r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Madame Amandine Kowalski, responsable du service des ressources humaines </w:t>
            </w:r>
          </w:p>
          <w:p w:rsidR="00B415B2" w:rsidRPr="00DC21B4" w:rsidRDefault="001C3E6C" w:rsidP="00B415B2">
            <w:pPr>
              <w:pStyle w:val="TableContentsus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</w:pPr>
            <w:hyperlink r:id="rId9" w:history="1">
              <w:r w:rsidR="00B415B2" w:rsidRPr="00DC21B4">
                <w:rPr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fr-FR" w:bidi="ar-SA"/>
                </w:rPr>
                <w:t>amandine.kowalski@paris-lavillette.archi.fr</w:t>
              </w:r>
            </w:hyperlink>
            <w:r w:rsidR="00B415B2" w:rsidRPr="00DC21B4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    01 44 65 23 11</w:t>
            </w:r>
          </w:p>
          <w:p w:rsidR="00DC21B4" w:rsidRDefault="00DC21B4" w:rsidP="00B415B2">
            <w:pPr>
              <w:pStyle w:val="TableContentsuser"/>
              <w:rPr>
                <w:rFonts w:hint="eastAsia"/>
                <w:b/>
                <w:bCs/>
              </w:rPr>
            </w:pPr>
          </w:p>
          <w:p w:rsidR="00DC21B4" w:rsidRPr="00DC21B4" w:rsidRDefault="00DC21B4" w:rsidP="00DC21B4">
            <w:pPr>
              <w:suppressAutoHyphens/>
              <w:autoSpaceDN w:val="0"/>
              <w:textAlignment w:val="baseline"/>
              <w:rPr>
                <w:rFonts w:hint="eastAsia"/>
                <w:kern w:val="3"/>
              </w:rPr>
            </w:pP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b/>
                <w:bCs/>
                <w:kern w:val="3"/>
                <w:lang w:eastAsia="hi-IN"/>
              </w:rPr>
            </w:pPr>
            <w:r w:rsidRPr="00DC21B4">
              <w:rPr>
                <w:b/>
                <w:bCs/>
                <w:kern w:val="3"/>
                <w:lang w:eastAsia="hi-IN"/>
              </w:rPr>
              <w:t>Envois des candidatures :</w:t>
            </w: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b/>
                <w:bCs/>
                <w:kern w:val="3"/>
                <w:lang w:eastAsia="hi-IN"/>
              </w:rPr>
            </w:pPr>
          </w:p>
          <w:p w:rsidR="00DC21B4" w:rsidRDefault="00DC21B4" w:rsidP="00DC21B4">
            <w:pPr>
              <w:pStyle w:val="TableContentsus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Merci d’envoyer votre candidature (lettre de motivation, CV et photocopie de la fiche de poste publiée) </w:t>
            </w:r>
            <w:r w:rsidRPr="001C3E6C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 xml:space="preserve">au plus tard le </w:t>
            </w:r>
            <w:r w:rsidR="001C3E6C" w:rsidRPr="001C3E6C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eastAsia="fr-FR" w:bidi="ar-SA"/>
              </w:rPr>
              <w:t>5 octobre 2020</w:t>
            </w:r>
            <w:r w:rsidR="001C3E6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à : </w:t>
            </w:r>
          </w:p>
          <w:p w:rsidR="00DC21B4" w:rsidRDefault="001C3E6C" w:rsidP="00DC21B4">
            <w:pPr>
              <w:pStyle w:val="TableContentsuser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hyperlink r:id="rId10" w:history="1">
              <w:r w:rsidR="00DC21B4" w:rsidRPr="004E3E64">
                <w:rPr>
                  <w:rStyle w:val="Lienhypertext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fr-FR" w:bidi="ar-SA"/>
                </w:rPr>
                <w:t>rosaly.datchi@paris-lavillette.archi.fr</w:t>
              </w:r>
            </w:hyperlink>
            <w:r w:rsid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</w:t>
            </w:r>
          </w:p>
          <w:p w:rsidR="00DC21B4" w:rsidRDefault="001C3E6C" w:rsidP="00DC21B4">
            <w:pPr>
              <w:pStyle w:val="TableContentsuser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hyperlink r:id="rId11" w:history="1">
              <w:r w:rsidR="00DC21B4" w:rsidRPr="004E3E64">
                <w:rPr>
                  <w:rStyle w:val="Lienhypertext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fr-FR" w:bidi="ar-SA"/>
                </w:rPr>
                <w:t>vincentella.decomarmond@paris-lavillette.archi.fr</w:t>
              </w:r>
            </w:hyperlink>
          </w:p>
          <w:p w:rsidR="00DC21B4" w:rsidRPr="00DC21B4" w:rsidRDefault="001C3E6C" w:rsidP="00DC21B4">
            <w:pPr>
              <w:pStyle w:val="TableContentsuser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hyperlink r:id="rId12" w:history="1">
              <w:r w:rsidR="00DC21B4" w:rsidRPr="004E3E64">
                <w:rPr>
                  <w:rStyle w:val="Lienhypertexte"/>
                  <w:rFonts w:ascii="Times New Roman" w:eastAsia="Times New Roman" w:hAnsi="Times New Roman" w:cs="Times New Roman"/>
                  <w:kern w:val="0"/>
                  <w:sz w:val="21"/>
                  <w:szCs w:val="21"/>
                  <w:lang w:eastAsia="fr-FR" w:bidi="ar-SA"/>
                </w:rPr>
                <w:t>amandine.kowalski@paris-lavillette.archi.fr</w:t>
              </w:r>
            </w:hyperlink>
            <w:r w:rsid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 xml:space="preserve"> </w:t>
            </w:r>
            <w:bookmarkStart w:id="0" w:name="_GoBack"/>
            <w:bookmarkEnd w:id="0"/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kern w:val="3"/>
                <w:lang w:eastAsia="hi-IN"/>
              </w:rPr>
            </w:pP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b/>
                <w:kern w:val="3"/>
                <w:lang w:eastAsia="hi-IN"/>
              </w:rPr>
            </w:pPr>
            <w:r w:rsidRPr="00DC21B4">
              <w:rPr>
                <w:b/>
                <w:kern w:val="3"/>
                <w:lang w:eastAsia="hi-IN"/>
              </w:rPr>
              <w:t xml:space="preserve">Rémunération : </w:t>
            </w: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kern w:val="3"/>
                <w:lang w:eastAsia="hi-IN"/>
              </w:rPr>
            </w:pPr>
          </w:p>
          <w:p w:rsidR="00DC21B4" w:rsidRPr="00DC21B4" w:rsidRDefault="00DC21B4" w:rsidP="00DC21B4">
            <w:pPr>
              <w:pStyle w:val="TableContentsus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2050 € brut mensuel (hors remboursement partiel du transport et supplément familial de traitement)</w:t>
            </w: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kern w:val="3"/>
                <w:lang w:eastAsia="hi-IN"/>
              </w:rPr>
            </w:pP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b/>
                <w:kern w:val="3"/>
                <w:lang w:eastAsia="hi-IN"/>
              </w:rPr>
            </w:pPr>
            <w:r w:rsidRPr="00DC21B4">
              <w:rPr>
                <w:b/>
                <w:kern w:val="3"/>
                <w:lang w:eastAsia="hi-IN"/>
              </w:rPr>
              <w:t>Date de prise de poste souhaitée :</w:t>
            </w:r>
          </w:p>
          <w:p w:rsidR="00DC21B4" w:rsidRPr="00DC21B4" w:rsidRDefault="00DC21B4" w:rsidP="00DC21B4">
            <w:pPr>
              <w:suppressAutoHyphens/>
              <w:autoSpaceDN w:val="0"/>
              <w:rPr>
                <w:rFonts w:hint="eastAsia"/>
                <w:kern w:val="3"/>
                <w:lang w:eastAsia="hi-IN"/>
              </w:rPr>
            </w:pPr>
          </w:p>
          <w:p w:rsidR="00DC21B4" w:rsidRPr="00DC21B4" w:rsidRDefault="00DC21B4" w:rsidP="00B415B2">
            <w:pPr>
              <w:pStyle w:val="TableContentsus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  <w:r w:rsidRP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Dès que possible</w:t>
            </w:r>
          </w:p>
          <w:p w:rsidR="002C2783" w:rsidRPr="005A3EB4" w:rsidRDefault="002C2783" w:rsidP="000020FF">
            <w:pPr>
              <w:pStyle w:val="TableContents"/>
              <w:ind w:left="510"/>
              <w:rPr>
                <w:rFonts w:hint="eastAsia"/>
                <w:sz w:val="16"/>
                <w:szCs w:val="16"/>
                <w:highlight w:val="yellow"/>
              </w:rPr>
            </w:pPr>
          </w:p>
        </w:tc>
      </w:tr>
    </w:tbl>
    <w:p w:rsidR="002C2783" w:rsidRDefault="002C2783">
      <w:pPr>
        <w:pStyle w:val="TableContents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Modalités de recrutement</w:t>
            </w:r>
          </w:p>
          <w:p w:rsidR="00DC21B4" w:rsidRDefault="00DC21B4">
            <w:pPr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</w:pPr>
          </w:p>
          <w:p w:rsidR="002C2783" w:rsidRDefault="00DC21B4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L</w:t>
            </w:r>
            <w:r w:rsidR="000020FF" w:rsidRPr="00DC21B4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fr-FR" w:bidi="ar-SA"/>
              </w:rPr>
              <w:t>es candidatures seront examinées collégialement par au moins 2 personnes formées au processus de recrutement</w:t>
            </w:r>
          </w:p>
        </w:tc>
      </w:tr>
    </w:tbl>
    <w:p w:rsidR="002C2783" w:rsidRDefault="000020FF">
      <w:pPr>
        <w:pStyle w:val="TableContents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Date de mise à </w:t>
      </w:r>
      <w:r w:rsidR="00B415B2">
        <w:rPr>
          <w:rFonts w:ascii="Times New Roman" w:hAnsi="Times New Roman"/>
          <w:b/>
          <w:bCs/>
          <w:sz w:val="16"/>
          <w:szCs w:val="16"/>
        </w:rPr>
        <w:t>jour de la fiche de poste : 10/09/2020</w:t>
      </w:r>
    </w:p>
    <w:sectPr w:rsidR="002C2783">
      <w:pgSz w:w="11906" w:h="16838"/>
      <w:pgMar w:top="397" w:right="737" w:bottom="397" w:left="73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E8"/>
    <w:multiLevelType w:val="hybridMultilevel"/>
    <w:tmpl w:val="0A9A157C"/>
    <w:lvl w:ilvl="0" w:tplc="B10A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3"/>
    <w:rsid w:val="000020FF"/>
    <w:rsid w:val="00135459"/>
    <w:rsid w:val="001C3E6C"/>
    <w:rsid w:val="002C2783"/>
    <w:rsid w:val="004E4291"/>
    <w:rsid w:val="00520889"/>
    <w:rsid w:val="005A3EB4"/>
    <w:rsid w:val="0078445F"/>
    <w:rsid w:val="0092467B"/>
    <w:rsid w:val="00A562B7"/>
    <w:rsid w:val="00A66892"/>
    <w:rsid w:val="00B415B2"/>
    <w:rsid w:val="00BF1825"/>
    <w:rsid w:val="00DC21B4"/>
    <w:rsid w:val="00E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88CC"/>
  <w15:docId w15:val="{DBE25C28-8540-4335-9CED-C33B7920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AutoHyphens/>
    </w:pPr>
  </w:style>
  <w:style w:type="paragraph" w:styleId="Corpsdetexte2">
    <w:name w:val="Body Text 2"/>
    <w:basedOn w:val="Normal"/>
    <w:qFormat/>
    <w:pPr>
      <w:suppressAutoHyphens/>
      <w:ind w:firstLine="708"/>
    </w:pPr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  <w:suppressAutoHyphens/>
    </w:pPr>
  </w:style>
  <w:style w:type="paragraph" w:styleId="En-tte">
    <w:name w:val="header"/>
    <w:basedOn w:val="Normal"/>
    <w:qFormat/>
    <w:pPr>
      <w:tabs>
        <w:tab w:val="center" w:pos="4818"/>
        <w:tab w:val="right" w:pos="9637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TableContentsuser">
    <w:name w:val="Table Contents (user)"/>
    <w:basedOn w:val="Normal"/>
    <w:rsid w:val="000020FF"/>
    <w:pPr>
      <w:suppressAutoHyphens/>
      <w:autoSpaceDN w:val="0"/>
      <w:textAlignment w:val="baseline"/>
    </w:pPr>
    <w:rPr>
      <w:kern w:val="3"/>
    </w:rPr>
  </w:style>
  <w:style w:type="character" w:styleId="Lienhypertexte">
    <w:name w:val="Hyperlink"/>
    <w:basedOn w:val="Policepardfaut"/>
    <w:rsid w:val="00B415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ella.decomarmond@paris-lavillette.archi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ly.datchi@paris-lavillette.archi.fr" TargetMode="External"/><Relationship Id="rId12" Type="http://schemas.openxmlformats.org/officeDocument/2006/relationships/hyperlink" Target="mailto:amandine.kowalski@paris-lavillette.arch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ncentella.decomarmond@paris-lavillette.archi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saly.datchi@paris-lavillette.arch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ine.kowalski@paris-lavillette.archi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LEFRANC-MAUPILÉ Audrey</dc:creator>
  <dc:description/>
  <cp:lastModifiedBy>Amandine KOWALSKI</cp:lastModifiedBy>
  <cp:revision>3</cp:revision>
  <dcterms:created xsi:type="dcterms:W3CDTF">2020-09-14T13:27:00Z</dcterms:created>
  <dcterms:modified xsi:type="dcterms:W3CDTF">2020-09-14T13:27:00Z</dcterms:modified>
  <dc:language>fr-FR</dc:language>
</cp:coreProperties>
</file>