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15E5" w:rsidRPr="00167AF1" w:rsidRDefault="00A615E5">
      <w:pPr>
        <w:pStyle w:val="BodyText"/>
        <w:pBdr>
          <w:left w:val="double" w:sz="40" w:space="1" w:color="000000"/>
        </w:pBdr>
        <w:rPr>
          <w:rFonts w:ascii="Arial" w:hAnsi="Arial" w:cs="Arial"/>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6" type="#_x0000_t75" style="position:absolute;left:0;text-align:left;margin-left:180pt;margin-top:.5pt;width:84.35pt;height:43.1pt;z-index:-251658240;visibility:visible;mso-wrap-distance-left:9.05pt;mso-wrap-distance-right:9.05pt" wrapcoords="-193 0 -193 21221 21600 21221 21600 0 -193 0" filled="t">
            <v:imagedata r:id="rId7" o:title=""/>
            <w10:wrap type="tight"/>
          </v:shape>
        </w:pict>
      </w:r>
    </w:p>
    <w:p w:rsidR="00A615E5" w:rsidRPr="00167AF1" w:rsidRDefault="00A615E5">
      <w:pPr>
        <w:pStyle w:val="BodyText"/>
        <w:pBdr>
          <w:left w:val="double" w:sz="40" w:space="1" w:color="000000"/>
        </w:pBdr>
        <w:rPr>
          <w:rFonts w:ascii="Arial" w:hAnsi="Arial" w:cs="Arial"/>
          <w:sz w:val="40"/>
          <w:szCs w:val="40"/>
        </w:rPr>
      </w:pPr>
    </w:p>
    <w:p w:rsidR="00A615E5" w:rsidRPr="00167AF1" w:rsidRDefault="00A615E5">
      <w:pPr>
        <w:pStyle w:val="BodyText"/>
        <w:pBdr>
          <w:left w:val="double" w:sz="40" w:space="1" w:color="000000"/>
        </w:pBdr>
        <w:jc w:val="both"/>
        <w:rPr>
          <w:rFonts w:ascii="Arial" w:hAnsi="Arial" w:cs="Arial"/>
          <w:sz w:val="40"/>
          <w:szCs w:val="40"/>
        </w:rPr>
      </w:pPr>
      <w:r>
        <w:rPr>
          <w:noProof/>
        </w:rPr>
        <w:pict>
          <v:shape id="Image 2" o:spid="_x0000_s1027" type="#_x0000_t75" style="position:absolute;left:0;text-align:left;margin-left:153pt;margin-top:7pt;width:149.6pt;height:84.35pt;z-index:-251659264;visibility:visible;mso-wrap-distance-left:9.05pt;mso-wrap-distance-right:9.05pt" wrapcoords="-109 0 -109 21407 21600 21407 21600 0 -109 0" filled="t">
            <v:imagedata r:id="rId8" o:title=""/>
            <w10:wrap type="tight"/>
          </v:shape>
        </w:pict>
      </w:r>
    </w:p>
    <w:p w:rsidR="00A615E5" w:rsidRPr="00167AF1" w:rsidRDefault="00A615E5">
      <w:pPr>
        <w:pStyle w:val="BodyText"/>
        <w:pBdr>
          <w:left w:val="double" w:sz="40" w:space="1" w:color="000000"/>
        </w:pBdr>
        <w:jc w:val="right"/>
        <w:rPr>
          <w:rFonts w:ascii="Arial" w:hAnsi="Arial" w:cs="Arial"/>
          <w:sz w:val="40"/>
          <w:szCs w:val="40"/>
        </w:rPr>
      </w:pPr>
    </w:p>
    <w:p w:rsidR="00A615E5" w:rsidRDefault="00A615E5">
      <w:pPr>
        <w:pStyle w:val="BodyText"/>
        <w:pBdr>
          <w:left w:val="double" w:sz="40" w:space="1" w:color="000000"/>
        </w:pBdr>
        <w:jc w:val="right"/>
        <w:rPr>
          <w:rFonts w:ascii="Arial" w:hAnsi="Arial" w:cs="Arial"/>
          <w:sz w:val="40"/>
          <w:szCs w:val="40"/>
        </w:rPr>
      </w:pPr>
    </w:p>
    <w:p w:rsidR="00A615E5" w:rsidRDefault="00A615E5">
      <w:pPr>
        <w:pStyle w:val="BodyText"/>
        <w:pBdr>
          <w:left w:val="double" w:sz="40" w:space="1" w:color="000000"/>
        </w:pBdr>
        <w:jc w:val="right"/>
        <w:rPr>
          <w:rFonts w:ascii="Arial" w:hAnsi="Arial" w:cs="Arial"/>
          <w:sz w:val="40"/>
          <w:szCs w:val="40"/>
        </w:rPr>
      </w:pPr>
    </w:p>
    <w:p w:rsidR="00A615E5" w:rsidRPr="00167AF1" w:rsidRDefault="00A615E5">
      <w:pPr>
        <w:pStyle w:val="BodyText"/>
        <w:pBdr>
          <w:left w:val="double" w:sz="40" w:space="1" w:color="000000"/>
        </w:pBdr>
        <w:jc w:val="right"/>
        <w:rPr>
          <w:rFonts w:ascii="Arial" w:hAnsi="Arial" w:cs="Arial"/>
          <w:sz w:val="40"/>
          <w:szCs w:val="40"/>
        </w:rPr>
      </w:pPr>
    </w:p>
    <w:p w:rsidR="00A615E5" w:rsidRPr="00167AF1" w:rsidRDefault="00A615E5">
      <w:pPr>
        <w:pStyle w:val="BodyText"/>
        <w:pBdr>
          <w:left w:val="double" w:sz="40" w:space="1" w:color="000000"/>
        </w:pBdr>
        <w:jc w:val="right"/>
        <w:rPr>
          <w:rFonts w:ascii="Arial" w:hAnsi="Arial" w:cs="Arial"/>
          <w:sz w:val="40"/>
          <w:szCs w:val="40"/>
        </w:rPr>
      </w:pPr>
    </w:p>
    <w:p w:rsidR="00A615E5" w:rsidRPr="00167AF1" w:rsidRDefault="00A615E5">
      <w:pPr>
        <w:pStyle w:val="BodyText"/>
        <w:pBdr>
          <w:left w:val="double" w:sz="40" w:space="1" w:color="000000"/>
        </w:pBdr>
        <w:spacing w:after="120"/>
        <w:rPr>
          <w:rFonts w:ascii="Arial" w:hAnsi="Arial" w:cs="Arial"/>
          <w:kern w:val="1"/>
          <w:sz w:val="72"/>
          <w:szCs w:val="72"/>
        </w:rPr>
      </w:pPr>
      <w:r>
        <w:rPr>
          <w:rFonts w:ascii="Arial" w:hAnsi="Arial" w:cs="Arial"/>
          <w:kern w:val="1"/>
          <w:sz w:val="72"/>
          <w:szCs w:val="72"/>
        </w:rPr>
        <w:t>Marché Public</w:t>
      </w:r>
    </w:p>
    <w:p w:rsidR="00A615E5" w:rsidRPr="00167AF1" w:rsidRDefault="00A615E5">
      <w:pPr>
        <w:pStyle w:val="BodyText"/>
        <w:pBdr>
          <w:left w:val="double" w:sz="40" w:space="1" w:color="000000"/>
        </w:pBdr>
        <w:spacing w:after="120"/>
        <w:rPr>
          <w:rFonts w:ascii="Arial" w:hAnsi="Arial" w:cs="Arial"/>
          <w:kern w:val="1"/>
          <w:sz w:val="24"/>
          <w:szCs w:val="24"/>
        </w:rPr>
      </w:pPr>
      <w:r w:rsidRPr="00167AF1">
        <w:rPr>
          <w:rFonts w:ascii="Arial" w:hAnsi="Arial" w:cs="Arial"/>
          <w:kern w:val="1"/>
          <w:sz w:val="72"/>
          <w:szCs w:val="72"/>
        </w:rPr>
        <w:t>à Procédure Adapté</w:t>
      </w:r>
      <w:r>
        <w:rPr>
          <w:rFonts w:ascii="Arial" w:hAnsi="Arial" w:cs="Arial"/>
          <w:kern w:val="1"/>
          <w:sz w:val="72"/>
          <w:szCs w:val="72"/>
        </w:rPr>
        <w:t>e</w:t>
      </w:r>
    </w:p>
    <w:p w:rsidR="00A615E5" w:rsidRPr="00C31D93" w:rsidRDefault="00A615E5">
      <w:pPr>
        <w:pStyle w:val="BodyText"/>
        <w:pBdr>
          <w:left w:val="double" w:sz="40" w:space="1" w:color="000000"/>
        </w:pBdr>
        <w:rPr>
          <w:rFonts w:ascii="Arial" w:hAnsi="Arial" w:cs="Arial"/>
          <w:kern w:val="1"/>
        </w:rPr>
      </w:pPr>
      <w:r w:rsidRPr="00C31D93">
        <w:rPr>
          <w:rFonts w:ascii="Arial" w:hAnsi="Arial" w:cs="Arial"/>
          <w:kern w:val="1"/>
        </w:rPr>
        <w:t>En application des articles 27 et 78 à 80  du décret n° 2016-360 du 25 mars 2016</w:t>
      </w:r>
    </w:p>
    <w:p w:rsidR="00A615E5" w:rsidRPr="00167AF1" w:rsidRDefault="00A615E5">
      <w:pPr>
        <w:pStyle w:val="BodyText"/>
        <w:pBdr>
          <w:left w:val="double" w:sz="40" w:space="1" w:color="000000"/>
        </w:pBdr>
        <w:rPr>
          <w:rFonts w:ascii="Arial" w:hAnsi="Arial" w:cs="Arial"/>
          <w:kern w:val="1"/>
        </w:rPr>
      </w:pPr>
      <w:r w:rsidRPr="00C31D93">
        <w:rPr>
          <w:rFonts w:ascii="Arial" w:hAnsi="Arial" w:cs="Arial"/>
          <w:kern w:val="1"/>
        </w:rPr>
        <w:t>relatif aux  marchés publics</w:t>
      </w:r>
    </w:p>
    <w:p w:rsidR="00A615E5" w:rsidRPr="00167AF1" w:rsidRDefault="00A615E5" w:rsidP="000F6F5E">
      <w:pPr>
        <w:pStyle w:val="BodyText"/>
        <w:pBdr>
          <w:left w:val="double" w:sz="40" w:space="2" w:color="000000"/>
        </w:pBdr>
        <w:rPr>
          <w:rFonts w:ascii="Arial" w:hAnsi="Arial" w:cs="Arial"/>
          <w:kern w:val="1"/>
        </w:rPr>
      </w:pPr>
    </w:p>
    <w:p w:rsidR="00A615E5" w:rsidRPr="00167AF1" w:rsidRDefault="00A615E5" w:rsidP="004C5DE7">
      <w:pPr>
        <w:pStyle w:val="BodyText"/>
        <w:pBdr>
          <w:left w:val="double" w:sz="40" w:space="2" w:color="000000"/>
        </w:pBdr>
        <w:jc w:val="left"/>
        <w:rPr>
          <w:rFonts w:ascii="Arial" w:hAnsi="Arial" w:cs="Arial"/>
          <w:kern w:val="1"/>
        </w:rPr>
      </w:pPr>
    </w:p>
    <w:p w:rsidR="00A615E5" w:rsidRPr="00167AF1" w:rsidRDefault="00A615E5" w:rsidP="000F6F5E">
      <w:pPr>
        <w:pStyle w:val="BodyText"/>
        <w:pBdr>
          <w:left w:val="double" w:sz="40" w:space="2" w:color="000000"/>
        </w:pBdr>
        <w:rPr>
          <w:rFonts w:ascii="Arial" w:hAnsi="Arial" w:cs="Arial"/>
          <w:sz w:val="40"/>
          <w:szCs w:val="40"/>
        </w:rPr>
      </w:pPr>
      <w:r w:rsidRPr="00167AF1">
        <w:rPr>
          <w:rFonts w:ascii="Arial" w:hAnsi="Arial" w:cs="Arial"/>
          <w:sz w:val="40"/>
          <w:szCs w:val="40"/>
        </w:rPr>
        <w:t xml:space="preserve">Graphisme : photogravure, mise en page </w:t>
      </w:r>
    </w:p>
    <w:p w:rsidR="00A615E5" w:rsidRPr="00167AF1" w:rsidRDefault="00A615E5" w:rsidP="009E4722">
      <w:pPr>
        <w:pStyle w:val="BodyText"/>
        <w:pBdr>
          <w:left w:val="double" w:sz="40" w:space="2" w:color="000000"/>
        </w:pBdr>
        <w:rPr>
          <w:rFonts w:ascii="Arial" w:hAnsi="Arial" w:cs="Arial"/>
          <w:sz w:val="40"/>
          <w:szCs w:val="40"/>
        </w:rPr>
      </w:pPr>
      <w:r w:rsidRPr="00167AF1">
        <w:rPr>
          <w:rFonts w:ascii="Arial" w:hAnsi="Arial" w:cs="Arial"/>
          <w:sz w:val="40"/>
          <w:szCs w:val="40"/>
        </w:rPr>
        <w:t>et maquette</w:t>
      </w:r>
      <w:r>
        <w:rPr>
          <w:rFonts w:ascii="Arial" w:hAnsi="Arial" w:cs="Arial"/>
          <w:sz w:val="40"/>
          <w:szCs w:val="40"/>
        </w:rPr>
        <w:t xml:space="preserve"> </w:t>
      </w:r>
      <w:r w:rsidRPr="00167AF1">
        <w:rPr>
          <w:rFonts w:ascii="Arial" w:hAnsi="Arial" w:cs="Arial"/>
          <w:sz w:val="40"/>
          <w:szCs w:val="40"/>
        </w:rPr>
        <w:t>d’ouvrages d’architecture</w:t>
      </w:r>
    </w:p>
    <w:p w:rsidR="00A615E5" w:rsidRPr="00167AF1" w:rsidRDefault="00A615E5" w:rsidP="004C5DE7">
      <w:pPr>
        <w:pStyle w:val="BodyText"/>
        <w:pBdr>
          <w:left w:val="double" w:sz="40" w:space="2" w:color="000000"/>
        </w:pBdr>
        <w:rPr>
          <w:rFonts w:ascii="Arial" w:hAnsi="Arial" w:cs="Arial"/>
          <w:kern w:val="1"/>
          <w:sz w:val="36"/>
          <w:szCs w:val="36"/>
        </w:rPr>
      </w:pPr>
    </w:p>
    <w:p w:rsidR="00A615E5" w:rsidRPr="00167AF1" w:rsidRDefault="00A615E5" w:rsidP="004C5DE7">
      <w:pPr>
        <w:pStyle w:val="BodyText"/>
        <w:pBdr>
          <w:left w:val="double" w:sz="40" w:space="2" w:color="000000"/>
        </w:pBdr>
        <w:rPr>
          <w:rFonts w:ascii="Arial" w:hAnsi="Arial" w:cs="Arial"/>
          <w:kern w:val="1"/>
          <w:sz w:val="36"/>
          <w:szCs w:val="36"/>
        </w:rPr>
      </w:pPr>
    </w:p>
    <w:p w:rsidR="00A615E5" w:rsidRPr="00167AF1" w:rsidRDefault="00A615E5" w:rsidP="004C5DE7">
      <w:pPr>
        <w:pStyle w:val="BodyText"/>
        <w:pBdr>
          <w:left w:val="double" w:sz="40" w:space="2" w:color="000000"/>
        </w:pBdr>
        <w:rPr>
          <w:rFonts w:ascii="Arial" w:hAnsi="Arial" w:cs="Arial"/>
          <w:kern w:val="1"/>
          <w:sz w:val="36"/>
          <w:szCs w:val="36"/>
        </w:rPr>
      </w:pPr>
    </w:p>
    <w:p w:rsidR="00A615E5" w:rsidRPr="00167AF1" w:rsidRDefault="00A615E5" w:rsidP="009E4722">
      <w:pPr>
        <w:pStyle w:val="BodyText"/>
        <w:pBdr>
          <w:left w:val="double" w:sz="40" w:space="2" w:color="000000"/>
        </w:pBdr>
        <w:rPr>
          <w:rFonts w:ascii="Arial" w:hAnsi="Arial" w:cs="Arial"/>
          <w:b/>
          <w:bCs/>
          <w:kern w:val="1"/>
          <w:sz w:val="36"/>
          <w:szCs w:val="36"/>
        </w:rPr>
      </w:pPr>
      <w:r w:rsidRPr="00167AF1">
        <w:rPr>
          <w:rFonts w:ascii="Arial" w:hAnsi="Arial" w:cs="Arial"/>
          <w:b/>
          <w:bCs/>
          <w:kern w:val="1"/>
          <w:sz w:val="36"/>
          <w:szCs w:val="36"/>
        </w:rPr>
        <w:t>Cahier des Clauses Administratives et Particulières</w:t>
      </w:r>
    </w:p>
    <w:p w:rsidR="00A615E5" w:rsidRDefault="00A615E5">
      <w:pPr>
        <w:pStyle w:val="BodyText"/>
        <w:pBdr>
          <w:left w:val="double" w:sz="40" w:space="2" w:color="000000"/>
        </w:pBdr>
        <w:rPr>
          <w:rFonts w:ascii="Arial" w:hAnsi="Arial" w:cs="Arial"/>
          <w:kern w:val="1"/>
          <w:sz w:val="48"/>
          <w:szCs w:val="48"/>
        </w:rPr>
      </w:pPr>
    </w:p>
    <w:p w:rsidR="00A615E5" w:rsidRPr="00167AF1" w:rsidRDefault="00A615E5">
      <w:pPr>
        <w:pStyle w:val="BodyText"/>
        <w:pBdr>
          <w:left w:val="double" w:sz="40" w:space="2" w:color="000000"/>
        </w:pBdr>
        <w:rPr>
          <w:rFonts w:ascii="Arial" w:hAnsi="Arial" w:cs="Arial"/>
          <w:kern w:val="1"/>
          <w:sz w:val="48"/>
          <w:szCs w:val="48"/>
        </w:rPr>
      </w:pPr>
    </w:p>
    <w:p w:rsidR="00A615E5" w:rsidRPr="00167AF1" w:rsidRDefault="00A615E5">
      <w:pPr>
        <w:pStyle w:val="BodyText"/>
        <w:pBdr>
          <w:left w:val="double" w:sz="40" w:space="2" w:color="000000"/>
        </w:pBdr>
        <w:rPr>
          <w:rFonts w:ascii="Arial" w:hAnsi="Arial" w:cs="Arial"/>
          <w:kern w:val="1"/>
          <w:sz w:val="48"/>
          <w:szCs w:val="48"/>
        </w:rPr>
      </w:pPr>
    </w:p>
    <w:p w:rsidR="00A615E5" w:rsidRPr="00167AF1" w:rsidRDefault="00A615E5" w:rsidP="009E4722">
      <w:pPr>
        <w:pStyle w:val="BodyText"/>
        <w:pBdr>
          <w:left w:val="double" w:sz="40" w:space="1" w:color="000000"/>
        </w:pBdr>
        <w:rPr>
          <w:rFonts w:ascii="Arial" w:hAnsi="Arial" w:cs="Arial"/>
          <w:kern w:val="1"/>
          <w:sz w:val="28"/>
          <w:szCs w:val="28"/>
        </w:rPr>
      </w:pPr>
      <w:r w:rsidRPr="00167AF1">
        <w:rPr>
          <w:rFonts w:ascii="Arial" w:hAnsi="Arial" w:cs="Arial"/>
          <w:kern w:val="1"/>
          <w:sz w:val="28"/>
          <w:szCs w:val="28"/>
        </w:rPr>
        <w:t xml:space="preserve">DATE LIMITE DE RECEPTION DES OFFRES : </w:t>
      </w:r>
    </w:p>
    <w:p w:rsidR="00A615E5" w:rsidRPr="00C31D93" w:rsidRDefault="00A615E5" w:rsidP="009E4722">
      <w:pPr>
        <w:pStyle w:val="BodyText"/>
        <w:pBdr>
          <w:left w:val="double" w:sz="40" w:space="1" w:color="000000"/>
        </w:pBdr>
        <w:rPr>
          <w:rFonts w:ascii="Arial" w:hAnsi="Arial" w:cs="Arial"/>
          <w:kern w:val="1"/>
          <w:sz w:val="24"/>
          <w:szCs w:val="24"/>
        </w:rPr>
      </w:pPr>
      <w:r>
        <w:rPr>
          <w:rFonts w:ascii="Arial" w:hAnsi="Arial" w:cs="Arial"/>
          <w:sz w:val="28"/>
          <w:szCs w:val="28"/>
        </w:rPr>
        <w:t>le 27</w:t>
      </w:r>
      <w:r w:rsidRPr="00C31D93">
        <w:rPr>
          <w:rFonts w:ascii="Arial" w:hAnsi="Arial" w:cs="Arial"/>
          <w:sz w:val="28"/>
          <w:szCs w:val="28"/>
        </w:rPr>
        <w:t xml:space="preserve"> juillet 2018, 12 heures</w:t>
      </w:r>
    </w:p>
    <w:p w:rsidR="00A615E5" w:rsidRDefault="00A615E5">
      <w:pPr>
        <w:pStyle w:val="BodyText"/>
        <w:pBdr>
          <w:left w:val="double" w:sz="40" w:space="1" w:color="000000"/>
        </w:pBdr>
        <w:rPr>
          <w:rFonts w:ascii="Arial" w:hAnsi="Arial" w:cs="Arial"/>
        </w:rPr>
      </w:pPr>
      <w:r w:rsidRPr="00C31D93">
        <w:rPr>
          <w:rFonts w:ascii="Arial" w:hAnsi="Arial" w:cs="Arial"/>
        </w:rPr>
        <w:t>REF MARCHE N° ENSAPLV_</w:t>
      </w:r>
      <w:r>
        <w:rPr>
          <w:rFonts w:ascii="Arial" w:hAnsi="Arial" w:cs="Arial"/>
        </w:rPr>
        <w:t>2018_4</w:t>
      </w:r>
    </w:p>
    <w:p w:rsidR="00A615E5" w:rsidRPr="00167AF1" w:rsidRDefault="00A615E5">
      <w:pPr>
        <w:pStyle w:val="BodyText"/>
        <w:pBdr>
          <w:left w:val="double" w:sz="40" w:space="1" w:color="000000"/>
        </w:pBdr>
        <w:rPr>
          <w:rFonts w:ascii="Arial" w:hAnsi="Arial" w:cs="Arial"/>
          <w:sz w:val="24"/>
          <w:szCs w:val="24"/>
        </w:rPr>
      </w:pPr>
    </w:p>
    <w:p w:rsidR="00A615E5" w:rsidRPr="00167AF1" w:rsidRDefault="00A615E5">
      <w:pPr>
        <w:pStyle w:val="BodyText"/>
        <w:pBdr>
          <w:left w:val="double" w:sz="40" w:space="1" w:color="000000"/>
        </w:pBdr>
        <w:rPr>
          <w:rFonts w:ascii="Arial" w:hAnsi="Arial" w:cs="Arial"/>
          <w:sz w:val="24"/>
          <w:szCs w:val="24"/>
        </w:rPr>
      </w:pPr>
      <w:r w:rsidRPr="00167AF1">
        <w:rPr>
          <w:rFonts w:ascii="Arial" w:hAnsi="Arial" w:cs="Arial"/>
          <w:sz w:val="24"/>
          <w:szCs w:val="24"/>
        </w:rPr>
        <w:t xml:space="preserve">Nomenclature Européenne CPV </w:t>
      </w:r>
      <w:r w:rsidRPr="00167AF1">
        <w:rPr>
          <w:rStyle w:val="Caractresdenotedebasdepage"/>
          <w:rFonts w:ascii="Arial" w:hAnsi="Arial" w:cs="Arial"/>
          <w:b/>
          <w:bCs/>
        </w:rPr>
        <w:footnoteReference w:id="2"/>
      </w:r>
      <w:r w:rsidRPr="00167AF1">
        <w:rPr>
          <w:rFonts w:ascii="Arial" w:hAnsi="Arial" w:cs="Arial"/>
          <w:sz w:val="24"/>
          <w:szCs w:val="24"/>
        </w:rPr>
        <w:t xml:space="preserve">  : </w:t>
      </w:r>
    </w:p>
    <w:p w:rsidR="00A615E5" w:rsidRPr="00D304EA" w:rsidRDefault="00A615E5" w:rsidP="00374321">
      <w:pPr>
        <w:pStyle w:val="BodyText"/>
        <w:pBdr>
          <w:left w:val="double" w:sz="40" w:space="1" w:color="000000"/>
        </w:pBdr>
        <w:rPr>
          <w:rFonts w:ascii="Arial" w:hAnsi="Arial" w:cs="Arial"/>
          <w:sz w:val="24"/>
          <w:szCs w:val="24"/>
        </w:rPr>
      </w:pPr>
      <w:r w:rsidRPr="00D304EA">
        <w:rPr>
          <w:rFonts w:ascii="Arial" w:hAnsi="Arial" w:cs="Arial"/>
          <w:sz w:val="24"/>
          <w:szCs w:val="24"/>
        </w:rPr>
        <w:t>79822500-7 service de conception graphique</w:t>
      </w:r>
    </w:p>
    <w:p w:rsidR="00A615E5" w:rsidRPr="00167AF1" w:rsidRDefault="00A615E5">
      <w:pPr>
        <w:pStyle w:val="BodyText"/>
        <w:pBdr>
          <w:left w:val="double" w:sz="40" w:space="1" w:color="000000"/>
        </w:pBdr>
        <w:rPr>
          <w:rFonts w:ascii="Arial" w:hAnsi="Arial" w:cs="Arial"/>
          <w:kern w:val="1"/>
          <w:sz w:val="24"/>
          <w:szCs w:val="24"/>
        </w:rPr>
      </w:pPr>
      <w:r w:rsidRPr="00374321">
        <w:rPr>
          <w:rFonts w:ascii="Arial" w:hAnsi="Arial" w:cs="Arial"/>
          <w:kern w:val="1"/>
          <w:sz w:val="24"/>
          <w:szCs w:val="24"/>
        </w:rPr>
        <w:t xml:space="preserve">Le présent CCAP comporte </w:t>
      </w:r>
      <w:r w:rsidRPr="00374321">
        <w:rPr>
          <w:rFonts w:ascii="Arial" w:hAnsi="Arial" w:cs="Arial"/>
          <w:kern w:val="1"/>
          <w:sz w:val="24"/>
          <w:szCs w:val="24"/>
        </w:rPr>
        <w:fldChar w:fldCharType="begin"/>
      </w:r>
      <w:r w:rsidRPr="00374321">
        <w:rPr>
          <w:rFonts w:ascii="Arial" w:hAnsi="Arial" w:cs="Arial"/>
          <w:kern w:val="1"/>
          <w:sz w:val="24"/>
          <w:szCs w:val="24"/>
        </w:rPr>
        <w:instrText xml:space="preserve">NUMPAGES \*Arabic </w:instrText>
      </w:r>
      <w:r w:rsidRPr="00374321">
        <w:rPr>
          <w:rFonts w:ascii="Arial" w:hAnsi="Arial" w:cs="Arial"/>
          <w:kern w:val="1"/>
          <w:sz w:val="24"/>
          <w:szCs w:val="24"/>
        </w:rPr>
        <w:fldChar w:fldCharType="separate"/>
      </w:r>
      <w:r w:rsidRPr="00374321">
        <w:rPr>
          <w:rFonts w:ascii="Arial" w:hAnsi="Arial" w:cs="Arial"/>
          <w:kern w:val="1"/>
          <w:sz w:val="24"/>
          <w:szCs w:val="24"/>
        </w:rPr>
        <w:t>11</w:t>
      </w:r>
      <w:r w:rsidRPr="00374321">
        <w:rPr>
          <w:rFonts w:ascii="Arial" w:hAnsi="Arial" w:cs="Arial"/>
          <w:kern w:val="1"/>
          <w:sz w:val="24"/>
          <w:szCs w:val="24"/>
        </w:rPr>
        <w:fldChar w:fldCharType="end"/>
      </w:r>
      <w:r w:rsidRPr="00374321">
        <w:rPr>
          <w:rFonts w:ascii="Arial" w:hAnsi="Arial" w:cs="Arial"/>
          <w:kern w:val="1"/>
          <w:sz w:val="24"/>
          <w:szCs w:val="24"/>
        </w:rPr>
        <w:t xml:space="preserve">  feuillets numérotés de 1 à 11</w:t>
      </w:r>
    </w:p>
    <w:p w:rsidR="00A615E5" w:rsidRPr="00167AF1" w:rsidRDefault="00A615E5">
      <w:pPr>
        <w:pStyle w:val="BodyText"/>
        <w:pBdr>
          <w:left w:val="double" w:sz="40" w:space="1" w:color="000000"/>
        </w:pBdr>
        <w:rPr>
          <w:rFonts w:ascii="Arial" w:hAnsi="Arial" w:cs="Arial"/>
          <w:kern w:val="1"/>
          <w:sz w:val="24"/>
          <w:szCs w:val="24"/>
        </w:rPr>
      </w:pPr>
    </w:p>
    <w:p w:rsidR="00A615E5" w:rsidRPr="00167AF1" w:rsidRDefault="00A615E5">
      <w:pPr>
        <w:pStyle w:val="BodyText"/>
        <w:pageBreakBefore/>
        <w:pBdr>
          <w:bottom w:val="single" w:sz="20" w:space="1" w:color="000000"/>
        </w:pBdr>
        <w:jc w:val="left"/>
        <w:rPr>
          <w:rFonts w:ascii="Arial" w:hAnsi="Arial" w:cs="Arial"/>
        </w:rPr>
      </w:pPr>
      <w:r w:rsidRPr="00167AF1">
        <w:rPr>
          <w:rFonts w:ascii="Arial" w:hAnsi="Arial" w:cs="Arial"/>
          <w:kern w:val="1"/>
        </w:rPr>
        <w:t>Sommaire</w:t>
      </w:r>
    </w:p>
    <w:p w:rsidR="00A615E5" w:rsidRPr="00167AF1" w:rsidRDefault="00A615E5">
      <w:pPr>
        <w:pStyle w:val="TOC1"/>
        <w:tabs>
          <w:tab w:val="right" w:pos="9062"/>
        </w:tabs>
        <w:rPr>
          <w:rFonts w:ascii="Arial" w:hAnsi="Arial" w:cs="Arial"/>
        </w:rPr>
      </w:pPr>
    </w:p>
    <w:p w:rsidR="00A615E5" w:rsidRPr="00167AF1" w:rsidRDefault="00A615E5">
      <w:pPr>
        <w:pStyle w:val="TOC1"/>
        <w:tabs>
          <w:tab w:val="right" w:leader="dot" w:pos="9062"/>
        </w:tabs>
        <w:rPr>
          <w:rFonts w:ascii="Arial" w:hAnsi="Arial" w:cs="Arial"/>
        </w:rPr>
      </w:pPr>
      <w:r w:rsidRPr="00167AF1">
        <w:rPr>
          <w:rFonts w:ascii="Arial" w:hAnsi="Arial" w:cs="Arial"/>
        </w:rPr>
        <w:fldChar w:fldCharType="begin"/>
      </w:r>
      <w:r w:rsidRPr="00167AF1">
        <w:rPr>
          <w:rFonts w:ascii="Arial" w:hAnsi="Arial" w:cs="Arial"/>
        </w:rPr>
        <w:instrText xml:space="preserve">TOC \o "1-3" </w:instrText>
      </w:r>
      <w:r w:rsidRPr="00167AF1">
        <w:rPr>
          <w:rFonts w:ascii="Arial" w:hAnsi="Arial" w:cs="Arial"/>
        </w:rPr>
        <w:fldChar w:fldCharType="separate"/>
      </w:r>
      <w:r w:rsidRPr="00167AF1">
        <w:rPr>
          <w:rFonts w:ascii="Arial" w:hAnsi="Arial" w:cs="Arial"/>
        </w:rPr>
        <w:t xml:space="preserve">Article 1 – Personne publique </w:t>
      </w:r>
      <w:r w:rsidRPr="00167AF1">
        <w:rPr>
          <w:rFonts w:ascii="Arial" w:hAnsi="Arial" w:cs="Arial"/>
        </w:rPr>
        <w:tab/>
      </w:r>
      <w:hyperlink w:anchor="__RefHeading___Toc195769656" w:history="1">
        <w:r w:rsidRPr="00167AF1">
          <w:rPr>
            <w:rFonts w:ascii="Arial" w:hAnsi="Arial" w:cs="Arial"/>
          </w:rPr>
          <w:t>3</w:t>
        </w:r>
      </w:hyperlink>
    </w:p>
    <w:p w:rsidR="00A615E5" w:rsidRPr="00167AF1" w:rsidRDefault="00A615E5">
      <w:pPr>
        <w:pStyle w:val="TOC1"/>
        <w:tabs>
          <w:tab w:val="right" w:leader="dot" w:pos="9062"/>
        </w:tabs>
        <w:rPr>
          <w:rFonts w:ascii="Arial" w:hAnsi="Arial" w:cs="Arial"/>
        </w:rPr>
      </w:pPr>
      <w:r w:rsidRPr="006201EA">
        <w:rPr>
          <w:rFonts w:ascii="Arial" w:hAnsi="Arial" w:cs="Arial"/>
        </w:rPr>
        <w:t>Article 2 - Objet du Marché public à procédure adaptée et exécution des prestations</w:t>
      </w:r>
      <w:r w:rsidRPr="006201EA">
        <w:rPr>
          <w:rFonts w:ascii="Arial" w:hAnsi="Arial" w:cs="Arial"/>
        </w:rPr>
        <w:tab/>
      </w:r>
      <w:hyperlink w:anchor="__RefHeading___Toc195769657" w:history="1">
        <w:r w:rsidRPr="006201EA">
          <w:rPr>
            <w:rFonts w:ascii="Arial" w:hAnsi="Arial" w:cs="Arial"/>
          </w:rPr>
          <w:t>3</w:t>
        </w:r>
      </w:hyperlink>
    </w:p>
    <w:p w:rsidR="00A615E5" w:rsidRPr="00167AF1" w:rsidRDefault="00A615E5">
      <w:pPr>
        <w:pStyle w:val="TOC2"/>
        <w:tabs>
          <w:tab w:val="right" w:leader="dot" w:pos="9062"/>
        </w:tabs>
        <w:rPr>
          <w:rFonts w:ascii="Arial" w:hAnsi="Arial" w:cs="Arial"/>
        </w:rPr>
      </w:pPr>
      <w:r w:rsidRPr="00167AF1">
        <w:rPr>
          <w:rFonts w:ascii="Arial" w:hAnsi="Arial" w:cs="Arial"/>
        </w:rPr>
        <w:t>2.1 - Objet général du marché</w:t>
      </w:r>
      <w:r w:rsidRPr="00167AF1">
        <w:rPr>
          <w:rFonts w:ascii="Arial" w:hAnsi="Arial" w:cs="Arial"/>
        </w:rPr>
        <w:tab/>
      </w:r>
      <w:hyperlink w:anchor="__RefHeading___Toc195769658" w:history="1">
        <w:r w:rsidRPr="00167AF1">
          <w:rPr>
            <w:rFonts w:ascii="Arial" w:hAnsi="Arial" w:cs="Arial"/>
          </w:rPr>
          <w:t>3</w:t>
        </w:r>
      </w:hyperlink>
    </w:p>
    <w:p w:rsidR="00A615E5" w:rsidRPr="00167AF1" w:rsidRDefault="00A615E5">
      <w:pPr>
        <w:pStyle w:val="TOC3"/>
        <w:tabs>
          <w:tab w:val="right" w:leader="dot" w:pos="9062"/>
        </w:tabs>
        <w:rPr>
          <w:rFonts w:ascii="Arial" w:hAnsi="Arial" w:cs="Arial"/>
        </w:rPr>
      </w:pPr>
      <w:r w:rsidRPr="00167AF1">
        <w:rPr>
          <w:rFonts w:ascii="Arial" w:hAnsi="Arial" w:cs="Arial"/>
        </w:rPr>
        <w:t>2.1.1 - Marché public à procédure adaptée (MAPA)</w:t>
      </w:r>
      <w:r w:rsidRPr="00167AF1">
        <w:rPr>
          <w:rFonts w:ascii="Arial" w:hAnsi="Arial" w:cs="Arial"/>
        </w:rPr>
        <w:tab/>
      </w:r>
      <w:hyperlink w:anchor="__RefHeading___Toc195769659" w:history="1">
        <w:r w:rsidRPr="00167AF1">
          <w:rPr>
            <w:rFonts w:ascii="Arial" w:hAnsi="Arial" w:cs="Arial"/>
          </w:rPr>
          <w:t>4</w:t>
        </w:r>
      </w:hyperlink>
    </w:p>
    <w:p w:rsidR="00A615E5" w:rsidRPr="00167AF1" w:rsidRDefault="00A615E5">
      <w:pPr>
        <w:pStyle w:val="TOC2"/>
        <w:tabs>
          <w:tab w:val="right" w:leader="dot" w:pos="9062"/>
        </w:tabs>
        <w:rPr>
          <w:rFonts w:ascii="Arial" w:hAnsi="Arial" w:cs="Arial"/>
        </w:rPr>
      </w:pPr>
      <w:r w:rsidRPr="00167AF1">
        <w:rPr>
          <w:rFonts w:ascii="Arial" w:hAnsi="Arial" w:cs="Arial"/>
        </w:rPr>
        <w:t>2.2 - Objet détaillé/type de marché</w:t>
      </w:r>
      <w:r w:rsidRPr="00167AF1">
        <w:rPr>
          <w:rFonts w:ascii="Arial" w:hAnsi="Arial" w:cs="Arial"/>
        </w:rPr>
        <w:tab/>
      </w:r>
      <w:hyperlink w:anchor="__RefHeading___Toc195769660" w:history="1">
        <w:r w:rsidRPr="00167AF1">
          <w:rPr>
            <w:rFonts w:ascii="Arial" w:hAnsi="Arial" w:cs="Arial"/>
          </w:rPr>
          <w:t>4</w:t>
        </w:r>
      </w:hyperlink>
    </w:p>
    <w:p w:rsidR="00A615E5" w:rsidRPr="00167AF1" w:rsidRDefault="00A615E5">
      <w:pPr>
        <w:pStyle w:val="TOC3"/>
        <w:tabs>
          <w:tab w:val="right" w:leader="dot" w:pos="9062"/>
        </w:tabs>
        <w:rPr>
          <w:rFonts w:ascii="Arial" w:hAnsi="Arial" w:cs="Arial"/>
        </w:rPr>
      </w:pPr>
      <w:r w:rsidRPr="00167AF1">
        <w:rPr>
          <w:rFonts w:ascii="Arial" w:hAnsi="Arial" w:cs="Arial"/>
        </w:rPr>
        <w:t>2.2.1 - Lieu d’exécution de la prestation :</w:t>
      </w:r>
      <w:r w:rsidRPr="00167AF1">
        <w:rPr>
          <w:rFonts w:ascii="Arial" w:hAnsi="Arial" w:cs="Arial"/>
        </w:rPr>
        <w:tab/>
      </w:r>
      <w:hyperlink w:anchor="__RefHeading___Toc195769661" w:history="1">
        <w:r w:rsidRPr="00167AF1">
          <w:rPr>
            <w:rFonts w:ascii="Arial" w:hAnsi="Arial" w:cs="Arial"/>
          </w:rPr>
          <w:t>4</w:t>
        </w:r>
      </w:hyperlink>
    </w:p>
    <w:p w:rsidR="00A615E5" w:rsidRPr="00167AF1" w:rsidRDefault="00A615E5">
      <w:pPr>
        <w:pStyle w:val="TOC1"/>
        <w:tabs>
          <w:tab w:val="right" w:leader="dot" w:pos="9062"/>
        </w:tabs>
        <w:rPr>
          <w:rFonts w:ascii="Arial" w:hAnsi="Arial" w:cs="Arial"/>
        </w:rPr>
      </w:pPr>
      <w:r w:rsidRPr="00167AF1">
        <w:rPr>
          <w:rFonts w:ascii="Arial" w:hAnsi="Arial" w:cs="Arial"/>
        </w:rPr>
        <w:t>Article 3 - Forme des marchés conclus sur la base du présent Marché public à procédure adaptée (MAPA)</w:t>
      </w:r>
      <w:r w:rsidRPr="00167AF1">
        <w:rPr>
          <w:rFonts w:ascii="Arial" w:hAnsi="Arial" w:cs="Arial"/>
        </w:rPr>
        <w:tab/>
      </w:r>
      <w:hyperlink w:anchor="__RefHeading___Toc195769662" w:history="1">
        <w:r w:rsidRPr="00167AF1">
          <w:rPr>
            <w:rFonts w:ascii="Arial" w:hAnsi="Arial" w:cs="Arial"/>
          </w:rPr>
          <w:t>4</w:t>
        </w:r>
      </w:hyperlink>
    </w:p>
    <w:p w:rsidR="00A615E5" w:rsidRPr="00167AF1" w:rsidRDefault="00A615E5">
      <w:pPr>
        <w:pStyle w:val="TOC1"/>
        <w:tabs>
          <w:tab w:val="right" w:leader="dot" w:pos="9062"/>
        </w:tabs>
        <w:rPr>
          <w:rFonts w:ascii="Arial" w:hAnsi="Arial" w:cs="Arial"/>
        </w:rPr>
      </w:pPr>
      <w:r w:rsidRPr="00167AF1">
        <w:rPr>
          <w:rFonts w:ascii="Arial" w:hAnsi="Arial" w:cs="Arial"/>
        </w:rPr>
        <w:t>Article 4 - Modalités d’attribution des marches conclu sur la base du présent accord</w:t>
      </w:r>
      <w:r w:rsidRPr="00167AF1">
        <w:rPr>
          <w:rFonts w:ascii="Arial" w:hAnsi="Arial" w:cs="Arial"/>
        </w:rPr>
        <w:tab/>
      </w:r>
      <w:hyperlink w:anchor="__RefHeading___Toc195769663" w:history="1">
        <w:r w:rsidRPr="00167AF1">
          <w:rPr>
            <w:rFonts w:ascii="Arial" w:hAnsi="Arial" w:cs="Arial"/>
          </w:rPr>
          <w:t>5</w:t>
        </w:r>
      </w:hyperlink>
    </w:p>
    <w:p w:rsidR="00A615E5" w:rsidRPr="00167AF1" w:rsidRDefault="00A615E5">
      <w:pPr>
        <w:pStyle w:val="TOC1"/>
        <w:tabs>
          <w:tab w:val="right" w:leader="dot" w:pos="9062"/>
        </w:tabs>
        <w:rPr>
          <w:rFonts w:ascii="Arial" w:hAnsi="Arial" w:cs="Arial"/>
        </w:rPr>
      </w:pPr>
      <w:r w:rsidRPr="00167AF1">
        <w:rPr>
          <w:rFonts w:ascii="Arial" w:hAnsi="Arial" w:cs="Arial"/>
        </w:rPr>
        <w:t>Article 5 - Pièces composant le marché</w:t>
      </w:r>
      <w:r w:rsidRPr="00167AF1">
        <w:rPr>
          <w:rFonts w:ascii="Arial" w:hAnsi="Arial" w:cs="Arial"/>
        </w:rPr>
        <w:tab/>
      </w:r>
      <w:hyperlink w:anchor="__RefHeading___Toc195769664" w:history="1">
        <w:r w:rsidRPr="00167AF1">
          <w:rPr>
            <w:rFonts w:ascii="Arial" w:hAnsi="Arial" w:cs="Arial"/>
          </w:rPr>
          <w:t>5</w:t>
        </w:r>
      </w:hyperlink>
    </w:p>
    <w:p w:rsidR="00A615E5" w:rsidRPr="00167AF1" w:rsidRDefault="00A615E5">
      <w:pPr>
        <w:pStyle w:val="TOC1"/>
        <w:tabs>
          <w:tab w:val="right" w:leader="dot" w:pos="9062"/>
        </w:tabs>
        <w:rPr>
          <w:rFonts w:ascii="Arial" w:hAnsi="Arial" w:cs="Arial"/>
        </w:rPr>
      </w:pPr>
      <w:r w:rsidRPr="00167AF1">
        <w:rPr>
          <w:rFonts w:ascii="Arial" w:hAnsi="Arial" w:cs="Arial"/>
        </w:rPr>
        <w:t>Article 6 - Durée</w:t>
      </w:r>
      <w:r w:rsidRPr="00167AF1">
        <w:rPr>
          <w:rFonts w:ascii="Arial" w:hAnsi="Arial" w:cs="Arial"/>
        </w:rPr>
        <w:tab/>
      </w:r>
      <w:hyperlink w:anchor="__RefHeading___Toc195769665" w:history="1">
        <w:r w:rsidRPr="00167AF1">
          <w:rPr>
            <w:rFonts w:ascii="Arial" w:hAnsi="Arial" w:cs="Arial"/>
          </w:rPr>
          <w:t>6</w:t>
        </w:r>
      </w:hyperlink>
    </w:p>
    <w:p w:rsidR="00A615E5" w:rsidRPr="00167AF1" w:rsidRDefault="00A615E5">
      <w:pPr>
        <w:pStyle w:val="TOC2"/>
        <w:tabs>
          <w:tab w:val="right" w:leader="dot" w:pos="9062"/>
        </w:tabs>
        <w:rPr>
          <w:rFonts w:ascii="Arial" w:hAnsi="Arial" w:cs="Arial"/>
        </w:rPr>
      </w:pPr>
      <w:r w:rsidRPr="00167AF1">
        <w:rPr>
          <w:rFonts w:ascii="Arial" w:hAnsi="Arial" w:cs="Arial"/>
        </w:rPr>
        <w:t>6.1 - Début de marché</w:t>
      </w:r>
      <w:r w:rsidRPr="00167AF1">
        <w:rPr>
          <w:rFonts w:ascii="Arial" w:hAnsi="Arial" w:cs="Arial"/>
        </w:rPr>
        <w:tab/>
      </w:r>
      <w:hyperlink w:anchor="__RefHeading___Toc195769666" w:history="1">
        <w:r w:rsidRPr="00167AF1">
          <w:rPr>
            <w:rFonts w:ascii="Arial" w:hAnsi="Arial" w:cs="Arial"/>
          </w:rPr>
          <w:t>6</w:t>
        </w:r>
      </w:hyperlink>
    </w:p>
    <w:p w:rsidR="00A615E5" w:rsidRPr="00167AF1" w:rsidRDefault="00A615E5">
      <w:pPr>
        <w:pStyle w:val="TOC2"/>
        <w:tabs>
          <w:tab w:val="right" w:leader="dot" w:pos="9062"/>
        </w:tabs>
        <w:rPr>
          <w:rFonts w:ascii="Arial" w:hAnsi="Arial" w:cs="Arial"/>
        </w:rPr>
      </w:pPr>
      <w:r w:rsidRPr="00167AF1">
        <w:rPr>
          <w:rFonts w:ascii="Arial" w:hAnsi="Arial" w:cs="Arial"/>
        </w:rPr>
        <w:t>6.2 - Durée du marché</w:t>
      </w:r>
      <w:r w:rsidRPr="00167AF1">
        <w:rPr>
          <w:rFonts w:ascii="Arial" w:hAnsi="Arial" w:cs="Arial"/>
        </w:rPr>
        <w:tab/>
      </w:r>
      <w:hyperlink w:anchor="__RefHeading___Toc195769667" w:history="1">
        <w:r w:rsidRPr="00167AF1">
          <w:rPr>
            <w:rFonts w:ascii="Arial" w:hAnsi="Arial" w:cs="Arial"/>
          </w:rPr>
          <w:t>6</w:t>
        </w:r>
      </w:hyperlink>
    </w:p>
    <w:p w:rsidR="00A615E5" w:rsidRPr="00167AF1" w:rsidRDefault="00A615E5">
      <w:pPr>
        <w:pStyle w:val="TOC1"/>
        <w:tabs>
          <w:tab w:val="right" w:leader="dot" w:pos="9062"/>
        </w:tabs>
        <w:rPr>
          <w:rFonts w:ascii="Arial" w:hAnsi="Arial" w:cs="Arial"/>
        </w:rPr>
      </w:pPr>
      <w:r w:rsidRPr="00167AF1">
        <w:rPr>
          <w:rFonts w:ascii="Arial" w:hAnsi="Arial" w:cs="Arial"/>
        </w:rPr>
        <w:t>Article 7 - Montant du Marché public à procédure adaptée (MAPA)</w:t>
      </w:r>
      <w:r w:rsidRPr="00167AF1">
        <w:rPr>
          <w:rFonts w:ascii="Arial" w:hAnsi="Arial" w:cs="Arial"/>
        </w:rPr>
        <w:tab/>
      </w:r>
      <w:hyperlink w:anchor="__RefHeading___Toc195769668" w:history="1">
        <w:r w:rsidRPr="00167AF1">
          <w:rPr>
            <w:rFonts w:ascii="Arial" w:hAnsi="Arial" w:cs="Arial"/>
          </w:rPr>
          <w:t>6</w:t>
        </w:r>
      </w:hyperlink>
    </w:p>
    <w:p w:rsidR="00A615E5" w:rsidRPr="00167AF1" w:rsidRDefault="00A615E5">
      <w:pPr>
        <w:pStyle w:val="TOC1"/>
        <w:tabs>
          <w:tab w:val="right" w:leader="dot" w:pos="9062"/>
        </w:tabs>
        <w:rPr>
          <w:rFonts w:ascii="Arial" w:hAnsi="Arial" w:cs="Arial"/>
        </w:rPr>
      </w:pPr>
      <w:r w:rsidRPr="00167AF1">
        <w:rPr>
          <w:rFonts w:ascii="Arial" w:hAnsi="Arial" w:cs="Arial"/>
        </w:rPr>
        <w:t>Article 8 - Prix</w:t>
      </w:r>
      <w:r w:rsidRPr="00167AF1">
        <w:rPr>
          <w:rFonts w:ascii="Arial" w:hAnsi="Arial" w:cs="Arial"/>
        </w:rPr>
        <w:tab/>
      </w:r>
      <w:hyperlink w:anchor="__RefHeading___Toc195769669" w:history="1">
        <w:r w:rsidRPr="00167AF1">
          <w:rPr>
            <w:rFonts w:ascii="Arial" w:hAnsi="Arial" w:cs="Arial"/>
          </w:rPr>
          <w:t>6</w:t>
        </w:r>
      </w:hyperlink>
    </w:p>
    <w:p w:rsidR="00A615E5" w:rsidRPr="00167AF1" w:rsidRDefault="00A615E5">
      <w:pPr>
        <w:pStyle w:val="TOC2"/>
        <w:tabs>
          <w:tab w:val="right" w:leader="dot" w:pos="9062"/>
        </w:tabs>
        <w:rPr>
          <w:rFonts w:ascii="Arial" w:hAnsi="Arial" w:cs="Arial"/>
        </w:rPr>
      </w:pPr>
      <w:r w:rsidRPr="00167AF1">
        <w:rPr>
          <w:rFonts w:ascii="Arial" w:hAnsi="Arial" w:cs="Arial"/>
        </w:rPr>
        <w:t>8.1 - Prix des marchés</w:t>
      </w:r>
      <w:r w:rsidRPr="00167AF1">
        <w:rPr>
          <w:rFonts w:ascii="Arial" w:hAnsi="Arial" w:cs="Arial"/>
        </w:rPr>
        <w:tab/>
      </w:r>
      <w:hyperlink w:anchor="__RefHeading___Toc195769670" w:history="1">
        <w:r w:rsidRPr="00167AF1">
          <w:rPr>
            <w:rFonts w:ascii="Arial" w:hAnsi="Arial" w:cs="Arial"/>
          </w:rPr>
          <w:t>6</w:t>
        </w:r>
      </w:hyperlink>
    </w:p>
    <w:p w:rsidR="00A615E5" w:rsidRPr="00167AF1" w:rsidRDefault="00A615E5">
      <w:pPr>
        <w:pStyle w:val="TOC2"/>
        <w:tabs>
          <w:tab w:val="right" w:leader="dot" w:pos="9062"/>
        </w:tabs>
        <w:rPr>
          <w:rFonts w:ascii="Arial" w:hAnsi="Arial" w:cs="Arial"/>
        </w:rPr>
      </w:pPr>
      <w:r w:rsidRPr="00167AF1">
        <w:rPr>
          <w:rFonts w:ascii="Arial" w:hAnsi="Arial" w:cs="Arial"/>
        </w:rPr>
        <w:t>8.2 - Contenu des prix</w:t>
      </w:r>
      <w:r w:rsidRPr="00167AF1">
        <w:rPr>
          <w:rFonts w:ascii="Arial" w:hAnsi="Arial" w:cs="Arial"/>
        </w:rPr>
        <w:tab/>
      </w:r>
      <w:hyperlink w:anchor="__RefHeading___Toc195769671" w:history="1">
        <w:r w:rsidRPr="00167AF1">
          <w:rPr>
            <w:rFonts w:ascii="Arial" w:hAnsi="Arial" w:cs="Arial"/>
          </w:rPr>
          <w:t>6</w:t>
        </w:r>
      </w:hyperlink>
    </w:p>
    <w:p w:rsidR="00A615E5" w:rsidRPr="00167AF1" w:rsidRDefault="00A615E5">
      <w:pPr>
        <w:pStyle w:val="TOC1"/>
        <w:tabs>
          <w:tab w:val="right" w:leader="dot" w:pos="9062"/>
        </w:tabs>
        <w:rPr>
          <w:rFonts w:ascii="Arial" w:hAnsi="Arial" w:cs="Arial"/>
        </w:rPr>
      </w:pPr>
      <w:r w:rsidRPr="00167AF1">
        <w:rPr>
          <w:rFonts w:ascii="Arial" w:hAnsi="Arial" w:cs="Arial"/>
        </w:rPr>
        <w:t>Article 9 - Paiement</w:t>
      </w:r>
      <w:r w:rsidRPr="00167AF1">
        <w:rPr>
          <w:rFonts w:ascii="Arial" w:hAnsi="Arial" w:cs="Arial"/>
        </w:rPr>
        <w:tab/>
      </w:r>
      <w:hyperlink w:anchor="__RefHeading___Toc195769672" w:history="1">
        <w:r w:rsidRPr="00167AF1">
          <w:rPr>
            <w:rFonts w:ascii="Arial" w:hAnsi="Arial" w:cs="Arial"/>
          </w:rPr>
          <w:t>7</w:t>
        </w:r>
      </w:hyperlink>
    </w:p>
    <w:p w:rsidR="00A615E5" w:rsidRPr="00167AF1" w:rsidRDefault="00A615E5">
      <w:pPr>
        <w:pStyle w:val="TOC2"/>
        <w:tabs>
          <w:tab w:val="right" w:leader="dot" w:pos="9062"/>
        </w:tabs>
        <w:rPr>
          <w:rFonts w:ascii="Arial" w:hAnsi="Arial" w:cs="Arial"/>
        </w:rPr>
      </w:pPr>
      <w:r w:rsidRPr="00167AF1">
        <w:rPr>
          <w:rFonts w:ascii="Arial" w:hAnsi="Arial" w:cs="Arial"/>
        </w:rPr>
        <w:t>9.1 - Facturation</w:t>
      </w:r>
      <w:r w:rsidRPr="00167AF1">
        <w:rPr>
          <w:rFonts w:ascii="Arial" w:hAnsi="Arial" w:cs="Arial"/>
        </w:rPr>
        <w:tab/>
      </w:r>
      <w:hyperlink w:anchor="__RefHeading___Toc195769673" w:history="1">
        <w:r w:rsidRPr="00167AF1">
          <w:rPr>
            <w:rFonts w:ascii="Arial" w:hAnsi="Arial" w:cs="Arial"/>
          </w:rPr>
          <w:t>7</w:t>
        </w:r>
      </w:hyperlink>
    </w:p>
    <w:p w:rsidR="00A615E5" w:rsidRPr="00167AF1" w:rsidRDefault="00A615E5">
      <w:pPr>
        <w:pStyle w:val="TOC2"/>
        <w:tabs>
          <w:tab w:val="right" w:leader="dot" w:pos="9062"/>
        </w:tabs>
        <w:rPr>
          <w:rFonts w:ascii="Arial" w:hAnsi="Arial" w:cs="Arial"/>
        </w:rPr>
      </w:pPr>
      <w:r w:rsidRPr="00167AF1">
        <w:rPr>
          <w:rFonts w:ascii="Arial" w:hAnsi="Arial" w:cs="Arial"/>
        </w:rPr>
        <w:t>9.2 - Paiement</w:t>
      </w:r>
      <w:r w:rsidRPr="00167AF1">
        <w:rPr>
          <w:rFonts w:ascii="Arial" w:hAnsi="Arial" w:cs="Arial"/>
        </w:rPr>
        <w:tab/>
      </w:r>
      <w:hyperlink w:anchor="__RefHeading___Toc195769674" w:history="1">
        <w:r w:rsidRPr="00167AF1">
          <w:rPr>
            <w:rFonts w:ascii="Arial" w:hAnsi="Arial" w:cs="Arial"/>
          </w:rPr>
          <w:t>7</w:t>
        </w:r>
      </w:hyperlink>
    </w:p>
    <w:p w:rsidR="00A615E5" w:rsidRPr="00167AF1" w:rsidRDefault="00A615E5">
      <w:pPr>
        <w:pStyle w:val="TOC2"/>
        <w:tabs>
          <w:tab w:val="right" w:leader="dot" w:pos="9062"/>
        </w:tabs>
        <w:rPr>
          <w:rFonts w:ascii="Arial" w:hAnsi="Arial" w:cs="Arial"/>
        </w:rPr>
      </w:pPr>
      <w:r w:rsidRPr="00167AF1">
        <w:rPr>
          <w:rFonts w:ascii="Arial" w:hAnsi="Arial" w:cs="Arial"/>
        </w:rPr>
        <w:t>9.3 - Avance</w:t>
      </w:r>
      <w:r w:rsidRPr="00167AF1">
        <w:rPr>
          <w:rFonts w:ascii="Arial" w:hAnsi="Arial" w:cs="Arial"/>
        </w:rPr>
        <w:tab/>
      </w:r>
      <w:hyperlink w:anchor="__RefHeading___Toc195769675" w:history="1">
        <w:r w:rsidRPr="00167AF1">
          <w:rPr>
            <w:rFonts w:ascii="Arial" w:hAnsi="Arial" w:cs="Arial"/>
          </w:rPr>
          <w:t>8</w:t>
        </w:r>
      </w:hyperlink>
    </w:p>
    <w:p w:rsidR="00A615E5" w:rsidRPr="00167AF1" w:rsidRDefault="00A615E5">
      <w:pPr>
        <w:pStyle w:val="TOC2"/>
        <w:tabs>
          <w:tab w:val="right" w:leader="dot" w:pos="9062"/>
        </w:tabs>
        <w:rPr>
          <w:rFonts w:ascii="Arial" w:hAnsi="Arial" w:cs="Arial"/>
        </w:rPr>
      </w:pPr>
      <w:r w:rsidRPr="00167AF1">
        <w:rPr>
          <w:rFonts w:ascii="Arial" w:hAnsi="Arial" w:cs="Arial"/>
        </w:rPr>
        <w:t>9.4 - Modalités de versement de l’avance</w:t>
      </w:r>
      <w:r w:rsidRPr="00167AF1">
        <w:rPr>
          <w:rFonts w:ascii="Arial" w:hAnsi="Arial" w:cs="Arial"/>
        </w:rPr>
        <w:tab/>
      </w:r>
      <w:hyperlink w:anchor="__RefHeading___Toc195769676" w:history="1">
        <w:r w:rsidRPr="00167AF1">
          <w:rPr>
            <w:rFonts w:ascii="Arial" w:hAnsi="Arial" w:cs="Arial"/>
          </w:rPr>
          <w:t>8</w:t>
        </w:r>
      </w:hyperlink>
    </w:p>
    <w:p w:rsidR="00A615E5" w:rsidRPr="00167AF1" w:rsidRDefault="00A615E5">
      <w:pPr>
        <w:pStyle w:val="TOC2"/>
        <w:tabs>
          <w:tab w:val="right" w:leader="dot" w:pos="9062"/>
        </w:tabs>
        <w:rPr>
          <w:rFonts w:ascii="Arial" w:hAnsi="Arial" w:cs="Arial"/>
        </w:rPr>
      </w:pPr>
      <w:r w:rsidRPr="00167AF1">
        <w:rPr>
          <w:rFonts w:ascii="Arial" w:hAnsi="Arial" w:cs="Arial"/>
        </w:rPr>
        <w:t>9.5 - Montant de l’avance</w:t>
      </w:r>
      <w:r w:rsidRPr="00167AF1">
        <w:rPr>
          <w:rFonts w:ascii="Arial" w:hAnsi="Arial" w:cs="Arial"/>
        </w:rPr>
        <w:tab/>
      </w:r>
      <w:hyperlink w:anchor="__RefHeading___Toc195769677" w:history="1">
        <w:r w:rsidRPr="00167AF1">
          <w:rPr>
            <w:rFonts w:ascii="Arial" w:hAnsi="Arial" w:cs="Arial"/>
          </w:rPr>
          <w:t>8</w:t>
        </w:r>
      </w:hyperlink>
    </w:p>
    <w:p w:rsidR="00A615E5" w:rsidRPr="00167AF1" w:rsidRDefault="00A615E5">
      <w:pPr>
        <w:pStyle w:val="TOC2"/>
        <w:tabs>
          <w:tab w:val="right" w:leader="dot" w:pos="9062"/>
        </w:tabs>
        <w:rPr>
          <w:rFonts w:ascii="Arial" w:hAnsi="Arial" w:cs="Arial"/>
        </w:rPr>
      </w:pPr>
      <w:r w:rsidRPr="00167AF1">
        <w:rPr>
          <w:rFonts w:ascii="Arial" w:hAnsi="Arial" w:cs="Arial"/>
        </w:rPr>
        <w:t>9.6 - Attestations sur l’honneur du titulaire</w:t>
      </w:r>
      <w:r w:rsidRPr="00167AF1">
        <w:rPr>
          <w:rFonts w:ascii="Arial" w:hAnsi="Arial" w:cs="Arial"/>
        </w:rPr>
        <w:tab/>
      </w:r>
      <w:hyperlink w:anchor="__RefHeading___Toc195769678" w:history="1">
        <w:r w:rsidRPr="00167AF1">
          <w:rPr>
            <w:rFonts w:ascii="Arial" w:hAnsi="Arial" w:cs="Arial"/>
          </w:rPr>
          <w:t>8</w:t>
        </w:r>
      </w:hyperlink>
    </w:p>
    <w:p w:rsidR="00A615E5" w:rsidRPr="00167AF1" w:rsidRDefault="00A615E5">
      <w:pPr>
        <w:pStyle w:val="TOC1"/>
        <w:tabs>
          <w:tab w:val="right" w:leader="dot" w:pos="9062"/>
        </w:tabs>
        <w:rPr>
          <w:rFonts w:ascii="Arial" w:hAnsi="Arial" w:cs="Arial"/>
        </w:rPr>
      </w:pPr>
      <w:r w:rsidRPr="00167AF1">
        <w:rPr>
          <w:rFonts w:ascii="Arial" w:hAnsi="Arial" w:cs="Arial"/>
        </w:rPr>
        <w:t>Article 10 - Engagement des parties</w:t>
      </w:r>
      <w:r w:rsidRPr="00167AF1">
        <w:rPr>
          <w:rFonts w:ascii="Arial" w:hAnsi="Arial" w:cs="Arial"/>
        </w:rPr>
        <w:tab/>
      </w:r>
      <w:hyperlink w:anchor="__RefHeading___Toc195769679" w:history="1">
        <w:r w:rsidRPr="00167AF1">
          <w:rPr>
            <w:rFonts w:ascii="Arial" w:hAnsi="Arial" w:cs="Arial"/>
          </w:rPr>
          <w:t>10</w:t>
        </w:r>
      </w:hyperlink>
    </w:p>
    <w:p w:rsidR="00A615E5" w:rsidRPr="00167AF1" w:rsidRDefault="00A615E5">
      <w:pPr>
        <w:pStyle w:val="TOC2"/>
        <w:tabs>
          <w:tab w:val="right" w:leader="dot" w:pos="9062"/>
        </w:tabs>
        <w:rPr>
          <w:rFonts w:ascii="Arial" w:hAnsi="Arial" w:cs="Arial"/>
        </w:rPr>
      </w:pPr>
      <w:r w:rsidRPr="00167AF1">
        <w:rPr>
          <w:rFonts w:ascii="Arial" w:hAnsi="Arial" w:cs="Arial"/>
        </w:rPr>
        <w:t>10.1 - Nature des prestations</w:t>
      </w:r>
      <w:r w:rsidRPr="00167AF1">
        <w:rPr>
          <w:rFonts w:ascii="Arial" w:hAnsi="Arial" w:cs="Arial"/>
        </w:rPr>
        <w:tab/>
      </w:r>
      <w:hyperlink w:anchor="__RefHeading___Toc195769680" w:history="1">
        <w:r w:rsidRPr="00167AF1">
          <w:rPr>
            <w:rFonts w:ascii="Arial" w:hAnsi="Arial" w:cs="Arial"/>
          </w:rPr>
          <w:t>10</w:t>
        </w:r>
      </w:hyperlink>
    </w:p>
    <w:p w:rsidR="00A615E5" w:rsidRPr="00167AF1" w:rsidRDefault="00A615E5">
      <w:pPr>
        <w:pStyle w:val="TOC2"/>
        <w:tabs>
          <w:tab w:val="right" w:leader="dot" w:pos="9062"/>
        </w:tabs>
        <w:rPr>
          <w:rFonts w:ascii="Arial" w:hAnsi="Arial" w:cs="Arial"/>
        </w:rPr>
      </w:pPr>
      <w:r w:rsidRPr="00167AF1">
        <w:rPr>
          <w:rFonts w:ascii="Arial" w:hAnsi="Arial" w:cs="Arial"/>
        </w:rPr>
        <w:t>10.2 - Livraison</w:t>
      </w:r>
      <w:r w:rsidRPr="00167AF1">
        <w:rPr>
          <w:rFonts w:ascii="Arial" w:hAnsi="Arial" w:cs="Arial"/>
        </w:rPr>
        <w:tab/>
      </w:r>
      <w:hyperlink w:anchor="__RefHeading___Toc195769681" w:history="1">
        <w:r w:rsidRPr="00167AF1">
          <w:rPr>
            <w:rFonts w:ascii="Arial" w:hAnsi="Arial" w:cs="Arial"/>
          </w:rPr>
          <w:t>10</w:t>
        </w:r>
      </w:hyperlink>
    </w:p>
    <w:p w:rsidR="00A615E5" w:rsidRPr="00167AF1" w:rsidRDefault="00A615E5">
      <w:pPr>
        <w:pStyle w:val="TOC3"/>
        <w:tabs>
          <w:tab w:val="right" w:leader="dot" w:pos="9062"/>
        </w:tabs>
        <w:rPr>
          <w:rFonts w:ascii="Arial" w:hAnsi="Arial" w:cs="Arial"/>
        </w:rPr>
      </w:pPr>
      <w:r w:rsidRPr="00167AF1">
        <w:rPr>
          <w:rFonts w:ascii="Arial" w:hAnsi="Arial" w:cs="Arial"/>
        </w:rPr>
        <w:t>10.2.1 - Délais de base</w:t>
      </w:r>
      <w:r w:rsidRPr="00167AF1">
        <w:rPr>
          <w:rFonts w:ascii="Arial" w:hAnsi="Arial" w:cs="Arial"/>
        </w:rPr>
        <w:tab/>
      </w:r>
      <w:hyperlink w:anchor="__RefHeading___Toc195769682" w:history="1">
        <w:r w:rsidRPr="00167AF1">
          <w:rPr>
            <w:rFonts w:ascii="Arial" w:hAnsi="Arial" w:cs="Arial"/>
          </w:rPr>
          <w:t>10</w:t>
        </w:r>
      </w:hyperlink>
    </w:p>
    <w:p w:rsidR="00A615E5" w:rsidRPr="00167AF1" w:rsidRDefault="00A615E5">
      <w:pPr>
        <w:pStyle w:val="TOC3"/>
        <w:tabs>
          <w:tab w:val="right" w:leader="dot" w:pos="9062"/>
        </w:tabs>
        <w:rPr>
          <w:rFonts w:ascii="Arial" w:hAnsi="Arial" w:cs="Arial"/>
        </w:rPr>
      </w:pPr>
      <w:r w:rsidRPr="00167AF1">
        <w:rPr>
          <w:rFonts w:ascii="Arial" w:hAnsi="Arial" w:cs="Arial"/>
        </w:rPr>
        <w:t>10.2.2 - Délais de livraison</w:t>
      </w:r>
      <w:r w:rsidRPr="00167AF1">
        <w:rPr>
          <w:rFonts w:ascii="Arial" w:hAnsi="Arial" w:cs="Arial"/>
        </w:rPr>
        <w:tab/>
      </w:r>
      <w:hyperlink w:anchor="__RefHeading___Toc195769683" w:history="1">
        <w:r w:rsidRPr="00167AF1">
          <w:rPr>
            <w:rFonts w:ascii="Arial" w:hAnsi="Arial" w:cs="Arial"/>
          </w:rPr>
          <w:t>10</w:t>
        </w:r>
      </w:hyperlink>
    </w:p>
    <w:p w:rsidR="00A615E5" w:rsidRPr="00167AF1" w:rsidRDefault="00A615E5">
      <w:pPr>
        <w:pStyle w:val="TOC3"/>
        <w:tabs>
          <w:tab w:val="right" w:leader="dot" w:pos="9062"/>
        </w:tabs>
        <w:rPr>
          <w:rFonts w:ascii="Arial" w:hAnsi="Arial" w:cs="Arial"/>
        </w:rPr>
      </w:pPr>
      <w:r w:rsidRPr="00167AF1">
        <w:rPr>
          <w:rFonts w:ascii="Arial" w:hAnsi="Arial" w:cs="Arial"/>
        </w:rPr>
        <w:t>10.2.3 - Prolongation des délais</w:t>
      </w:r>
      <w:r w:rsidRPr="00167AF1">
        <w:rPr>
          <w:rFonts w:ascii="Arial" w:hAnsi="Arial" w:cs="Arial"/>
        </w:rPr>
        <w:tab/>
      </w:r>
      <w:hyperlink w:anchor="__RefHeading___Toc195769684" w:history="1">
        <w:r w:rsidRPr="00167AF1">
          <w:rPr>
            <w:rFonts w:ascii="Arial" w:hAnsi="Arial" w:cs="Arial"/>
          </w:rPr>
          <w:t>10</w:t>
        </w:r>
      </w:hyperlink>
    </w:p>
    <w:p w:rsidR="00A615E5" w:rsidRPr="00167AF1" w:rsidRDefault="00A615E5">
      <w:pPr>
        <w:pStyle w:val="TOC2"/>
        <w:tabs>
          <w:tab w:val="right" w:leader="dot" w:pos="9062"/>
        </w:tabs>
        <w:rPr>
          <w:rFonts w:ascii="Arial" w:hAnsi="Arial" w:cs="Arial"/>
        </w:rPr>
      </w:pPr>
      <w:r w:rsidRPr="00167AF1">
        <w:rPr>
          <w:rFonts w:ascii="Arial" w:hAnsi="Arial" w:cs="Arial"/>
        </w:rPr>
        <w:t>10.3 - Opération de vérification des prestations  effectuées sur la base du présent accord</w:t>
      </w:r>
      <w:r w:rsidRPr="00167AF1">
        <w:rPr>
          <w:rFonts w:ascii="Arial" w:hAnsi="Arial" w:cs="Arial"/>
        </w:rPr>
        <w:tab/>
      </w:r>
      <w:hyperlink w:anchor="__RefHeading___Toc195769685" w:history="1">
        <w:r w:rsidRPr="00167AF1">
          <w:rPr>
            <w:rFonts w:ascii="Arial" w:hAnsi="Arial" w:cs="Arial"/>
          </w:rPr>
          <w:t>11</w:t>
        </w:r>
      </w:hyperlink>
    </w:p>
    <w:p w:rsidR="00A615E5" w:rsidRPr="00167AF1" w:rsidRDefault="00A615E5">
      <w:pPr>
        <w:pStyle w:val="TOC3"/>
        <w:tabs>
          <w:tab w:val="right" w:leader="dot" w:pos="9062"/>
        </w:tabs>
        <w:rPr>
          <w:rFonts w:ascii="Arial" w:hAnsi="Arial" w:cs="Arial"/>
        </w:rPr>
      </w:pPr>
      <w:r w:rsidRPr="00167AF1">
        <w:rPr>
          <w:rFonts w:ascii="Arial" w:hAnsi="Arial" w:cs="Arial"/>
        </w:rPr>
        <w:t>10.3.1 - Pénalités de retard et Calcul des pénalités</w:t>
      </w:r>
      <w:r w:rsidRPr="00167AF1">
        <w:rPr>
          <w:rFonts w:ascii="Arial" w:hAnsi="Arial" w:cs="Arial"/>
        </w:rPr>
        <w:tab/>
      </w:r>
      <w:hyperlink w:anchor="__RefHeading___Toc195769686" w:history="1">
        <w:r w:rsidRPr="00167AF1">
          <w:rPr>
            <w:rFonts w:ascii="Arial" w:hAnsi="Arial" w:cs="Arial"/>
          </w:rPr>
          <w:t>11</w:t>
        </w:r>
      </w:hyperlink>
    </w:p>
    <w:p w:rsidR="00A615E5" w:rsidRPr="00167AF1" w:rsidRDefault="00A615E5">
      <w:pPr>
        <w:pStyle w:val="TOC3"/>
        <w:tabs>
          <w:tab w:val="right" w:leader="dot" w:pos="9062"/>
        </w:tabs>
        <w:rPr>
          <w:rFonts w:ascii="Arial" w:hAnsi="Arial" w:cs="Arial"/>
        </w:rPr>
      </w:pPr>
      <w:r w:rsidRPr="00167AF1">
        <w:rPr>
          <w:rFonts w:ascii="Arial" w:hAnsi="Arial" w:cs="Arial"/>
        </w:rPr>
        <w:t>10.3.2 - Application des pénalités</w:t>
      </w:r>
      <w:r w:rsidRPr="00167AF1">
        <w:rPr>
          <w:rFonts w:ascii="Arial" w:hAnsi="Arial" w:cs="Arial"/>
        </w:rPr>
        <w:tab/>
      </w:r>
      <w:hyperlink w:anchor="__RefHeading___Toc195769687" w:history="1">
        <w:r w:rsidRPr="00167AF1">
          <w:rPr>
            <w:rFonts w:ascii="Arial" w:hAnsi="Arial" w:cs="Arial"/>
          </w:rPr>
          <w:t>11</w:t>
        </w:r>
      </w:hyperlink>
    </w:p>
    <w:p w:rsidR="00A615E5" w:rsidRPr="00167AF1" w:rsidRDefault="00A615E5">
      <w:pPr>
        <w:pStyle w:val="TOC3"/>
        <w:tabs>
          <w:tab w:val="right" w:leader="dot" w:pos="9062"/>
        </w:tabs>
        <w:rPr>
          <w:rFonts w:ascii="Arial" w:hAnsi="Arial" w:cs="Arial"/>
        </w:rPr>
      </w:pPr>
      <w:r w:rsidRPr="00167AF1">
        <w:rPr>
          <w:rFonts w:ascii="Arial" w:hAnsi="Arial" w:cs="Arial"/>
        </w:rPr>
        <w:t>10.3.3 - Exonération des pénalités</w:t>
      </w:r>
      <w:r w:rsidRPr="00167AF1">
        <w:rPr>
          <w:rFonts w:ascii="Arial" w:hAnsi="Arial" w:cs="Arial"/>
        </w:rPr>
        <w:tab/>
      </w:r>
      <w:hyperlink w:anchor="__RefHeading___Toc195769688" w:history="1">
        <w:r w:rsidRPr="00167AF1">
          <w:rPr>
            <w:rFonts w:ascii="Arial" w:hAnsi="Arial" w:cs="Arial"/>
          </w:rPr>
          <w:t>11</w:t>
        </w:r>
      </w:hyperlink>
    </w:p>
    <w:p w:rsidR="00A615E5" w:rsidRPr="00167AF1" w:rsidRDefault="00A615E5">
      <w:pPr>
        <w:pStyle w:val="TOC2"/>
        <w:tabs>
          <w:tab w:val="right" w:leader="dot" w:pos="9062"/>
        </w:tabs>
        <w:rPr>
          <w:rFonts w:ascii="Arial" w:hAnsi="Arial" w:cs="Arial"/>
        </w:rPr>
      </w:pPr>
      <w:r w:rsidRPr="00167AF1">
        <w:rPr>
          <w:rFonts w:ascii="Arial" w:hAnsi="Arial" w:cs="Arial"/>
        </w:rPr>
        <w:t>10.4 - Garantie</w:t>
      </w:r>
      <w:r w:rsidRPr="00167AF1">
        <w:rPr>
          <w:rFonts w:ascii="Arial" w:hAnsi="Arial" w:cs="Arial"/>
        </w:rPr>
        <w:tab/>
      </w:r>
      <w:hyperlink w:anchor="__RefHeading___Toc195769689" w:history="1">
        <w:r w:rsidRPr="00167AF1">
          <w:rPr>
            <w:rFonts w:ascii="Arial" w:hAnsi="Arial" w:cs="Arial"/>
          </w:rPr>
          <w:t>12</w:t>
        </w:r>
      </w:hyperlink>
    </w:p>
    <w:p w:rsidR="00A615E5" w:rsidRPr="00167AF1" w:rsidRDefault="00A615E5">
      <w:pPr>
        <w:pStyle w:val="TOC3"/>
        <w:tabs>
          <w:tab w:val="right" w:leader="dot" w:pos="9062"/>
        </w:tabs>
        <w:rPr>
          <w:rFonts w:ascii="Arial" w:hAnsi="Arial" w:cs="Arial"/>
        </w:rPr>
      </w:pPr>
      <w:r w:rsidRPr="00167AF1">
        <w:rPr>
          <w:rFonts w:ascii="Arial" w:hAnsi="Arial" w:cs="Arial"/>
        </w:rPr>
        <w:t>10.4.1 - Nature des obligations au titre de la garantie</w:t>
      </w:r>
      <w:r w:rsidRPr="00167AF1">
        <w:rPr>
          <w:rFonts w:ascii="Arial" w:hAnsi="Arial" w:cs="Arial"/>
        </w:rPr>
        <w:tab/>
      </w:r>
      <w:hyperlink w:anchor="__RefHeading___Toc195769690" w:history="1">
        <w:r w:rsidRPr="00167AF1">
          <w:rPr>
            <w:rFonts w:ascii="Arial" w:hAnsi="Arial" w:cs="Arial"/>
          </w:rPr>
          <w:t>12</w:t>
        </w:r>
      </w:hyperlink>
    </w:p>
    <w:p w:rsidR="00A615E5" w:rsidRPr="00167AF1" w:rsidRDefault="00A615E5">
      <w:pPr>
        <w:pStyle w:val="TOC3"/>
        <w:tabs>
          <w:tab w:val="right" w:leader="dot" w:pos="9062"/>
        </w:tabs>
        <w:rPr>
          <w:rFonts w:ascii="Arial" w:hAnsi="Arial" w:cs="Arial"/>
        </w:rPr>
      </w:pPr>
      <w:r w:rsidRPr="00167AF1">
        <w:rPr>
          <w:rFonts w:ascii="Arial" w:hAnsi="Arial" w:cs="Arial"/>
        </w:rPr>
        <w:t>10.4.2 - Défaillance du titulaire</w:t>
      </w:r>
      <w:r w:rsidRPr="00167AF1">
        <w:rPr>
          <w:rFonts w:ascii="Arial" w:hAnsi="Arial" w:cs="Arial"/>
        </w:rPr>
        <w:tab/>
      </w:r>
      <w:hyperlink w:anchor="__RefHeading___Toc195769691" w:history="1">
        <w:r w:rsidRPr="00167AF1">
          <w:rPr>
            <w:rFonts w:ascii="Arial" w:hAnsi="Arial" w:cs="Arial"/>
          </w:rPr>
          <w:t>12</w:t>
        </w:r>
      </w:hyperlink>
    </w:p>
    <w:p w:rsidR="00A615E5" w:rsidRPr="00167AF1" w:rsidRDefault="00A615E5">
      <w:pPr>
        <w:pStyle w:val="TOC2"/>
        <w:tabs>
          <w:tab w:val="right" w:leader="dot" w:pos="9062"/>
        </w:tabs>
        <w:rPr>
          <w:rFonts w:ascii="Arial" w:hAnsi="Arial" w:cs="Arial"/>
        </w:rPr>
      </w:pPr>
      <w:r w:rsidRPr="00167AF1">
        <w:rPr>
          <w:rFonts w:ascii="Arial" w:hAnsi="Arial" w:cs="Arial"/>
        </w:rPr>
        <w:t>10.5 - Assurances</w:t>
      </w:r>
      <w:r w:rsidRPr="00167AF1">
        <w:rPr>
          <w:rFonts w:ascii="Arial" w:hAnsi="Arial" w:cs="Arial"/>
        </w:rPr>
        <w:tab/>
      </w:r>
      <w:hyperlink w:anchor="__RefHeading___Toc195769692" w:history="1">
        <w:r w:rsidRPr="00167AF1">
          <w:rPr>
            <w:rFonts w:ascii="Arial" w:hAnsi="Arial" w:cs="Arial"/>
          </w:rPr>
          <w:t>12</w:t>
        </w:r>
      </w:hyperlink>
    </w:p>
    <w:p w:rsidR="00A615E5" w:rsidRPr="00167AF1" w:rsidRDefault="00A615E5">
      <w:pPr>
        <w:pStyle w:val="TOC2"/>
        <w:tabs>
          <w:tab w:val="right" w:leader="dot" w:pos="9062"/>
        </w:tabs>
        <w:rPr>
          <w:rFonts w:ascii="Arial" w:hAnsi="Arial" w:cs="Arial"/>
        </w:rPr>
      </w:pPr>
      <w:r w:rsidRPr="00167AF1">
        <w:rPr>
          <w:rFonts w:ascii="Arial" w:hAnsi="Arial" w:cs="Arial"/>
        </w:rPr>
        <w:t>10.6 - Personnel du titulaire</w:t>
      </w:r>
      <w:r w:rsidRPr="00167AF1">
        <w:rPr>
          <w:rFonts w:ascii="Arial" w:hAnsi="Arial" w:cs="Arial"/>
        </w:rPr>
        <w:tab/>
      </w:r>
      <w:hyperlink w:anchor="__RefHeading___Toc195769693" w:history="1">
        <w:r w:rsidRPr="00167AF1">
          <w:rPr>
            <w:rFonts w:ascii="Arial" w:hAnsi="Arial" w:cs="Arial"/>
          </w:rPr>
          <w:t>13</w:t>
        </w:r>
      </w:hyperlink>
    </w:p>
    <w:p w:rsidR="00A615E5" w:rsidRPr="00167AF1" w:rsidRDefault="00A615E5">
      <w:pPr>
        <w:pStyle w:val="TOC2"/>
        <w:tabs>
          <w:tab w:val="right" w:leader="dot" w:pos="9062"/>
        </w:tabs>
        <w:rPr>
          <w:rFonts w:ascii="Arial" w:hAnsi="Arial" w:cs="Arial"/>
        </w:rPr>
      </w:pPr>
      <w:r w:rsidRPr="00167AF1">
        <w:rPr>
          <w:rFonts w:ascii="Arial" w:hAnsi="Arial" w:cs="Arial"/>
        </w:rPr>
        <w:t>10.7 - Résiliation, différends et litiges</w:t>
      </w:r>
      <w:r w:rsidRPr="00167AF1">
        <w:rPr>
          <w:rFonts w:ascii="Arial" w:hAnsi="Arial" w:cs="Arial"/>
        </w:rPr>
        <w:tab/>
      </w:r>
      <w:hyperlink w:anchor="__RefHeading___Toc195769694" w:history="1">
        <w:r w:rsidRPr="00167AF1">
          <w:rPr>
            <w:rFonts w:ascii="Arial" w:hAnsi="Arial" w:cs="Arial"/>
          </w:rPr>
          <w:t>13</w:t>
        </w:r>
      </w:hyperlink>
    </w:p>
    <w:p w:rsidR="00A615E5" w:rsidRPr="00167AF1" w:rsidRDefault="00A615E5">
      <w:pPr>
        <w:pStyle w:val="TOC3"/>
        <w:tabs>
          <w:tab w:val="right" w:leader="dot" w:pos="9062"/>
        </w:tabs>
        <w:rPr>
          <w:rFonts w:ascii="Arial" w:hAnsi="Arial" w:cs="Arial"/>
        </w:rPr>
      </w:pPr>
      <w:r w:rsidRPr="00167AF1">
        <w:rPr>
          <w:rFonts w:ascii="Arial" w:hAnsi="Arial" w:cs="Arial"/>
        </w:rPr>
        <w:t>10.7.1 - Résiliation</w:t>
      </w:r>
      <w:r w:rsidRPr="00167AF1">
        <w:rPr>
          <w:rFonts w:ascii="Arial" w:hAnsi="Arial" w:cs="Arial"/>
        </w:rPr>
        <w:tab/>
      </w:r>
      <w:hyperlink w:anchor="__RefHeading___Toc195769695" w:history="1">
        <w:r w:rsidRPr="00167AF1">
          <w:rPr>
            <w:rFonts w:ascii="Arial" w:hAnsi="Arial" w:cs="Arial"/>
          </w:rPr>
          <w:t>13</w:t>
        </w:r>
      </w:hyperlink>
    </w:p>
    <w:p w:rsidR="00A615E5" w:rsidRPr="00167AF1" w:rsidRDefault="00A615E5">
      <w:pPr>
        <w:pStyle w:val="TOC3"/>
        <w:tabs>
          <w:tab w:val="right" w:leader="dot" w:pos="9062"/>
        </w:tabs>
        <w:rPr>
          <w:rFonts w:ascii="Arial" w:hAnsi="Arial" w:cs="Arial"/>
        </w:rPr>
      </w:pPr>
      <w:r w:rsidRPr="00167AF1">
        <w:rPr>
          <w:rFonts w:ascii="Arial" w:hAnsi="Arial" w:cs="Arial"/>
        </w:rPr>
        <w:t>10.7.2 - Règlement des différends et des litiges</w:t>
      </w:r>
      <w:r w:rsidRPr="00167AF1">
        <w:rPr>
          <w:rFonts w:ascii="Arial" w:hAnsi="Arial" w:cs="Arial"/>
        </w:rPr>
        <w:tab/>
      </w:r>
      <w:hyperlink w:anchor="__RefHeading___Toc195769696" w:history="1">
        <w:r w:rsidRPr="00167AF1">
          <w:rPr>
            <w:rFonts w:ascii="Arial" w:hAnsi="Arial" w:cs="Arial"/>
          </w:rPr>
          <w:t>14</w:t>
        </w:r>
      </w:hyperlink>
    </w:p>
    <w:p w:rsidR="00A615E5" w:rsidRPr="00167AF1" w:rsidRDefault="00A615E5">
      <w:pPr>
        <w:pStyle w:val="TOC2"/>
        <w:tabs>
          <w:tab w:val="right" w:leader="dot" w:pos="9062"/>
        </w:tabs>
        <w:rPr>
          <w:rFonts w:ascii="Arial" w:hAnsi="Arial" w:cs="Arial"/>
        </w:rPr>
      </w:pPr>
      <w:r w:rsidRPr="00167AF1">
        <w:rPr>
          <w:rFonts w:ascii="Arial" w:hAnsi="Arial" w:cs="Arial"/>
        </w:rPr>
        <w:t>10.8 - Nantissement et cession de créances</w:t>
      </w:r>
      <w:r w:rsidRPr="00167AF1">
        <w:rPr>
          <w:rFonts w:ascii="Arial" w:hAnsi="Arial" w:cs="Arial"/>
        </w:rPr>
        <w:tab/>
      </w:r>
      <w:hyperlink w:anchor="__RefHeading___Toc195769697" w:history="1">
        <w:r w:rsidRPr="00167AF1">
          <w:rPr>
            <w:rFonts w:ascii="Arial" w:hAnsi="Arial" w:cs="Arial"/>
          </w:rPr>
          <w:t>14</w:t>
        </w:r>
      </w:hyperlink>
    </w:p>
    <w:p w:rsidR="00A615E5" w:rsidRPr="00167AF1" w:rsidRDefault="00A615E5">
      <w:pPr>
        <w:pStyle w:val="TOC2"/>
        <w:tabs>
          <w:tab w:val="right" w:leader="dot" w:pos="9062"/>
        </w:tabs>
        <w:rPr>
          <w:rFonts w:ascii="Arial" w:hAnsi="Arial" w:cs="Arial"/>
        </w:rPr>
      </w:pPr>
      <w:r w:rsidRPr="00167AF1">
        <w:rPr>
          <w:rFonts w:ascii="Arial" w:hAnsi="Arial" w:cs="Arial"/>
        </w:rPr>
        <w:t>10.9 - Dispositions diverses</w:t>
      </w:r>
      <w:r w:rsidRPr="00167AF1">
        <w:rPr>
          <w:rFonts w:ascii="Arial" w:hAnsi="Arial" w:cs="Arial"/>
        </w:rPr>
        <w:tab/>
      </w:r>
      <w:hyperlink w:anchor="__RefHeading___Toc195769698" w:history="1">
        <w:r w:rsidRPr="00167AF1">
          <w:rPr>
            <w:rFonts w:ascii="Arial" w:hAnsi="Arial" w:cs="Arial"/>
          </w:rPr>
          <w:t>14</w:t>
        </w:r>
      </w:hyperlink>
    </w:p>
    <w:p w:rsidR="00A615E5" w:rsidRPr="00167AF1" w:rsidRDefault="00A615E5">
      <w:pPr>
        <w:pStyle w:val="TOC3"/>
        <w:tabs>
          <w:tab w:val="right" w:leader="dot" w:pos="9062"/>
        </w:tabs>
        <w:rPr>
          <w:rFonts w:ascii="Arial" w:hAnsi="Arial" w:cs="Arial"/>
        </w:rPr>
      </w:pPr>
      <w:r w:rsidRPr="00167AF1">
        <w:rPr>
          <w:rFonts w:ascii="Arial" w:hAnsi="Arial" w:cs="Arial"/>
        </w:rPr>
        <w:t>10.9.1 - Non validité partielle</w:t>
      </w:r>
      <w:r w:rsidRPr="00167AF1">
        <w:rPr>
          <w:rFonts w:ascii="Arial" w:hAnsi="Arial" w:cs="Arial"/>
        </w:rPr>
        <w:tab/>
      </w:r>
      <w:hyperlink w:anchor="__RefHeading___Toc195769699" w:history="1">
        <w:r w:rsidRPr="00167AF1">
          <w:rPr>
            <w:rFonts w:ascii="Arial" w:hAnsi="Arial" w:cs="Arial"/>
          </w:rPr>
          <w:t>14</w:t>
        </w:r>
      </w:hyperlink>
    </w:p>
    <w:p w:rsidR="00A615E5" w:rsidRPr="00167AF1" w:rsidRDefault="00A615E5">
      <w:pPr>
        <w:pStyle w:val="TOC3"/>
        <w:tabs>
          <w:tab w:val="right" w:leader="dot" w:pos="9062"/>
        </w:tabs>
        <w:rPr>
          <w:rFonts w:ascii="Arial" w:hAnsi="Arial" w:cs="Arial"/>
        </w:rPr>
      </w:pPr>
      <w:r w:rsidRPr="00167AF1">
        <w:rPr>
          <w:rFonts w:ascii="Arial" w:hAnsi="Arial" w:cs="Arial"/>
        </w:rPr>
        <w:t>10.9.2 - Langues</w:t>
      </w:r>
      <w:r w:rsidRPr="00167AF1">
        <w:rPr>
          <w:rFonts w:ascii="Arial" w:hAnsi="Arial" w:cs="Arial"/>
        </w:rPr>
        <w:tab/>
      </w:r>
      <w:hyperlink w:anchor="__RefHeading___Toc195769700" w:history="1">
        <w:r w:rsidRPr="00167AF1">
          <w:rPr>
            <w:rFonts w:ascii="Arial" w:hAnsi="Arial" w:cs="Arial"/>
          </w:rPr>
          <w:t>14</w:t>
        </w:r>
      </w:hyperlink>
    </w:p>
    <w:p w:rsidR="00A615E5" w:rsidRPr="00167AF1" w:rsidRDefault="00A615E5">
      <w:pPr>
        <w:pStyle w:val="TOC3"/>
        <w:tabs>
          <w:tab w:val="right" w:leader="dot" w:pos="9062"/>
        </w:tabs>
        <w:rPr>
          <w:rFonts w:ascii="Arial" w:hAnsi="Arial" w:cs="Arial"/>
        </w:rPr>
      </w:pPr>
      <w:r w:rsidRPr="00167AF1">
        <w:rPr>
          <w:rFonts w:ascii="Arial" w:hAnsi="Arial" w:cs="Arial"/>
        </w:rPr>
        <w:t>10.9.3 - Droit applicable</w:t>
      </w:r>
      <w:r w:rsidRPr="00167AF1">
        <w:rPr>
          <w:rFonts w:ascii="Arial" w:hAnsi="Arial" w:cs="Arial"/>
        </w:rPr>
        <w:tab/>
      </w:r>
      <w:hyperlink w:anchor="__RefHeading___Toc195769701" w:history="1">
        <w:r w:rsidRPr="00167AF1">
          <w:rPr>
            <w:rFonts w:ascii="Arial" w:hAnsi="Arial" w:cs="Arial"/>
          </w:rPr>
          <w:t>14</w:t>
        </w:r>
      </w:hyperlink>
    </w:p>
    <w:p w:rsidR="00A615E5" w:rsidRPr="00167AF1" w:rsidRDefault="00A615E5">
      <w:pPr>
        <w:pStyle w:val="TOC3"/>
        <w:tabs>
          <w:tab w:val="right" w:leader="dot" w:pos="9062"/>
        </w:tabs>
        <w:rPr>
          <w:rFonts w:ascii="Arial" w:hAnsi="Arial" w:cs="Arial"/>
        </w:rPr>
      </w:pPr>
      <w:r w:rsidRPr="00167AF1">
        <w:rPr>
          <w:rFonts w:ascii="Arial" w:hAnsi="Arial" w:cs="Arial"/>
        </w:rPr>
        <w:t>10.9.4 - Tribunal compétent</w:t>
      </w:r>
      <w:r w:rsidRPr="00167AF1">
        <w:rPr>
          <w:rFonts w:ascii="Arial" w:hAnsi="Arial" w:cs="Arial"/>
        </w:rPr>
        <w:tab/>
      </w:r>
      <w:hyperlink w:anchor="__RefHeading___Toc195769702" w:history="1">
        <w:r w:rsidRPr="00167AF1">
          <w:rPr>
            <w:rFonts w:ascii="Arial" w:hAnsi="Arial" w:cs="Arial"/>
          </w:rPr>
          <w:t>14</w:t>
        </w:r>
      </w:hyperlink>
    </w:p>
    <w:p w:rsidR="00A615E5" w:rsidRPr="00167AF1" w:rsidRDefault="00A615E5">
      <w:pPr>
        <w:pStyle w:val="BodyText"/>
        <w:rPr>
          <w:rFonts w:ascii="Arial" w:hAnsi="Arial" w:cs="Arial"/>
        </w:rPr>
      </w:pPr>
      <w:r w:rsidRPr="00167AF1">
        <w:rPr>
          <w:rFonts w:ascii="Arial" w:hAnsi="Arial" w:cs="Arial"/>
        </w:rPr>
        <w:fldChar w:fldCharType="end"/>
      </w:r>
    </w:p>
    <w:p w:rsidR="00A615E5" w:rsidRPr="00167AF1" w:rsidRDefault="00A615E5">
      <w:pPr>
        <w:pStyle w:val="BodyText"/>
        <w:pageBreakBefore/>
        <w:rPr>
          <w:rFonts w:ascii="Arial" w:hAnsi="Arial" w:cs="Arial"/>
          <w:b/>
          <w:bCs/>
          <w:sz w:val="40"/>
          <w:szCs w:val="40"/>
        </w:rPr>
      </w:pPr>
      <w:r w:rsidRPr="00167AF1">
        <w:rPr>
          <w:rFonts w:ascii="Arial" w:hAnsi="Arial" w:cs="Arial"/>
          <w:sz w:val="40"/>
          <w:szCs w:val="40"/>
        </w:rPr>
        <w:t>Clauses administratives particulières</w:t>
      </w:r>
    </w:p>
    <w:p w:rsidR="00A615E5" w:rsidRPr="00167AF1" w:rsidRDefault="00A615E5">
      <w:pPr>
        <w:tabs>
          <w:tab w:val="left" w:pos="1985"/>
        </w:tabs>
        <w:jc w:val="both"/>
        <w:rPr>
          <w:rFonts w:ascii="Arial" w:hAnsi="Arial" w:cs="Arial"/>
          <w:b/>
          <w:bCs/>
        </w:rPr>
      </w:pPr>
    </w:p>
    <w:p w:rsidR="00A615E5" w:rsidRPr="00167AF1" w:rsidRDefault="00A615E5">
      <w:pPr>
        <w:pStyle w:val="Heading1"/>
        <w:tabs>
          <w:tab w:val="left" w:pos="720"/>
        </w:tabs>
        <w:rPr>
          <w:rFonts w:ascii="Arial" w:hAnsi="Arial" w:cs="Arial"/>
        </w:rPr>
      </w:pPr>
      <w:bookmarkStart w:id="0" w:name="__RefHeading___Toc195769656"/>
      <w:bookmarkEnd w:id="0"/>
      <w:r w:rsidRPr="00167AF1">
        <w:rPr>
          <w:rFonts w:ascii="Arial" w:hAnsi="Arial" w:cs="Arial"/>
        </w:rPr>
        <w:t xml:space="preserve">Personne publique </w:t>
      </w:r>
    </w:p>
    <w:p w:rsidR="00A615E5" w:rsidRPr="00167AF1" w:rsidRDefault="00A615E5">
      <w:pPr>
        <w:tabs>
          <w:tab w:val="left" w:pos="1985"/>
        </w:tabs>
        <w:jc w:val="both"/>
        <w:rPr>
          <w:rFonts w:ascii="Arial" w:hAnsi="Arial" w:cs="Arial"/>
        </w:rPr>
      </w:pPr>
    </w:p>
    <w:p w:rsidR="00A615E5" w:rsidRPr="00167AF1" w:rsidRDefault="00A615E5">
      <w:pPr>
        <w:tabs>
          <w:tab w:val="left" w:pos="1985"/>
        </w:tabs>
        <w:jc w:val="both"/>
        <w:rPr>
          <w:rFonts w:ascii="Arial" w:hAnsi="Arial" w:cs="Arial"/>
        </w:rPr>
      </w:pPr>
      <w:r w:rsidRPr="00167AF1">
        <w:rPr>
          <w:rFonts w:ascii="Arial" w:hAnsi="Arial" w:cs="Arial"/>
        </w:rPr>
        <w:t xml:space="preserve">Le présent </w:t>
      </w:r>
      <w:r w:rsidRPr="00167AF1">
        <w:rPr>
          <w:rFonts w:ascii="Arial" w:hAnsi="Arial" w:cs="Arial"/>
          <w:b/>
          <w:bCs/>
        </w:rPr>
        <w:t xml:space="preserve">Marché public à procédure adaptée </w:t>
      </w:r>
      <w:r w:rsidRPr="00167AF1">
        <w:rPr>
          <w:rFonts w:ascii="Arial" w:hAnsi="Arial" w:cs="Arial"/>
        </w:rPr>
        <w:t xml:space="preserve">(MAPA) est conclu pour répondre aux besoins de photogravure, </w:t>
      </w:r>
      <w:r>
        <w:rPr>
          <w:rFonts w:ascii="Arial" w:hAnsi="Arial" w:cs="Arial"/>
        </w:rPr>
        <w:t xml:space="preserve">de </w:t>
      </w:r>
      <w:r w:rsidRPr="00167AF1">
        <w:rPr>
          <w:rFonts w:ascii="Arial" w:hAnsi="Arial" w:cs="Arial"/>
        </w:rPr>
        <w:t>mise en page et d’exécution de maquettes d’ouvrages d’architecture du service des éditions de l'</w:t>
      </w:r>
      <w:r w:rsidRPr="00167AF1">
        <w:rPr>
          <w:rFonts w:ascii="Arial" w:hAnsi="Arial" w:cs="Arial"/>
          <w:b/>
          <w:bCs/>
        </w:rPr>
        <w:t>École Nationale Supérieure d’Architecture de Paris la Villette</w:t>
      </w:r>
      <w:r>
        <w:rPr>
          <w:rFonts w:ascii="Arial" w:hAnsi="Arial" w:cs="Arial"/>
          <w:b/>
          <w:bCs/>
        </w:rPr>
        <w:t>.</w:t>
      </w:r>
    </w:p>
    <w:p w:rsidR="00A615E5" w:rsidRPr="00167AF1" w:rsidRDefault="00A615E5">
      <w:pPr>
        <w:tabs>
          <w:tab w:val="left" w:pos="1985"/>
        </w:tabs>
        <w:jc w:val="both"/>
        <w:rPr>
          <w:rFonts w:ascii="Arial" w:hAnsi="Arial" w:cs="Arial"/>
          <w:sz w:val="8"/>
          <w:szCs w:val="8"/>
        </w:rPr>
      </w:pPr>
    </w:p>
    <w:p w:rsidR="00A615E5" w:rsidRPr="00167AF1" w:rsidRDefault="00A615E5">
      <w:pPr>
        <w:tabs>
          <w:tab w:val="left" w:pos="1985"/>
        </w:tabs>
        <w:rPr>
          <w:rFonts w:ascii="Arial" w:hAnsi="Arial" w:cs="Arial"/>
        </w:rPr>
      </w:pPr>
      <w:r w:rsidRPr="00167AF1">
        <w:rPr>
          <w:rFonts w:ascii="Arial" w:hAnsi="Arial" w:cs="Arial"/>
        </w:rPr>
        <w:t>144 av de Flandre</w:t>
      </w:r>
    </w:p>
    <w:p w:rsidR="00A615E5" w:rsidRPr="00167AF1" w:rsidRDefault="00A615E5">
      <w:pPr>
        <w:tabs>
          <w:tab w:val="left" w:pos="1985"/>
        </w:tabs>
        <w:rPr>
          <w:rFonts w:ascii="Arial" w:hAnsi="Arial" w:cs="Arial"/>
        </w:rPr>
      </w:pPr>
      <w:r w:rsidRPr="00167AF1">
        <w:rPr>
          <w:rFonts w:ascii="Arial" w:hAnsi="Arial" w:cs="Arial"/>
        </w:rPr>
        <w:t xml:space="preserve">75019 PARIS </w:t>
      </w:r>
    </w:p>
    <w:p w:rsidR="00A615E5" w:rsidRPr="00167AF1" w:rsidRDefault="00A615E5">
      <w:pPr>
        <w:tabs>
          <w:tab w:val="left" w:pos="1985"/>
        </w:tabs>
        <w:rPr>
          <w:rFonts w:ascii="Arial" w:hAnsi="Arial" w:cs="Arial"/>
        </w:rPr>
      </w:pPr>
      <w:r w:rsidRPr="00167AF1">
        <w:rPr>
          <w:rFonts w:ascii="Arial" w:hAnsi="Arial" w:cs="Arial"/>
        </w:rPr>
        <w:t>tel :  01 44 65 23 00</w:t>
      </w:r>
    </w:p>
    <w:p w:rsidR="00A615E5" w:rsidRPr="00167AF1" w:rsidRDefault="00A615E5">
      <w:pPr>
        <w:tabs>
          <w:tab w:val="left" w:pos="1985"/>
        </w:tabs>
        <w:rPr>
          <w:rFonts w:ascii="Arial" w:hAnsi="Arial" w:cs="Arial"/>
        </w:rPr>
      </w:pPr>
      <w:r w:rsidRPr="00167AF1">
        <w:rPr>
          <w:rFonts w:ascii="Arial" w:hAnsi="Arial" w:cs="Arial"/>
        </w:rPr>
        <w:t>fax : 01 44 65 23 01</w:t>
      </w:r>
    </w:p>
    <w:p w:rsidR="00A615E5" w:rsidRPr="00167AF1" w:rsidRDefault="00A615E5">
      <w:pPr>
        <w:tabs>
          <w:tab w:val="left" w:pos="1985"/>
        </w:tabs>
        <w:rPr>
          <w:rFonts w:ascii="Arial" w:hAnsi="Arial" w:cs="Arial"/>
        </w:rPr>
      </w:pPr>
    </w:p>
    <w:p w:rsidR="00A615E5" w:rsidRPr="00167AF1" w:rsidRDefault="00A615E5">
      <w:pPr>
        <w:tabs>
          <w:tab w:val="left" w:pos="1985"/>
        </w:tabs>
        <w:jc w:val="both"/>
        <w:rPr>
          <w:rFonts w:ascii="Arial" w:hAnsi="Arial" w:cs="Arial"/>
          <w:sz w:val="8"/>
          <w:szCs w:val="8"/>
        </w:rPr>
      </w:pPr>
      <w:r w:rsidRPr="00167AF1">
        <w:rPr>
          <w:rFonts w:ascii="Arial" w:hAnsi="Arial" w:cs="Arial"/>
        </w:rPr>
        <w:t>Dénommé dans les documents par le terme "ENSAPLV".</w:t>
      </w:r>
    </w:p>
    <w:p w:rsidR="00A615E5" w:rsidRPr="00167AF1" w:rsidRDefault="00A615E5">
      <w:pPr>
        <w:tabs>
          <w:tab w:val="left" w:pos="1985"/>
        </w:tabs>
        <w:jc w:val="both"/>
        <w:rPr>
          <w:rFonts w:ascii="Arial" w:hAnsi="Arial" w:cs="Arial"/>
          <w:sz w:val="8"/>
          <w:szCs w:val="8"/>
        </w:rPr>
      </w:pPr>
    </w:p>
    <w:p w:rsidR="00A615E5" w:rsidRPr="00167AF1" w:rsidRDefault="00A615E5">
      <w:pPr>
        <w:tabs>
          <w:tab w:val="left" w:pos="1985"/>
        </w:tabs>
        <w:rPr>
          <w:rFonts w:ascii="Arial" w:hAnsi="Arial" w:cs="Arial"/>
        </w:rPr>
      </w:pPr>
      <w:r w:rsidRPr="00167AF1">
        <w:rPr>
          <w:rFonts w:ascii="Arial" w:hAnsi="Arial" w:cs="Arial"/>
        </w:rPr>
        <w:t>Représentée par Bruno Mengoli,  Directeur de l’ENSAPLV</w:t>
      </w:r>
    </w:p>
    <w:p w:rsidR="00A615E5" w:rsidRPr="00167AF1" w:rsidRDefault="00A615E5">
      <w:pPr>
        <w:tabs>
          <w:tab w:val="left" w:pos="1985"/>
        </w:tabs>
        <w:jc w:val="both"/>
        <w:rPr>
          <w:rFonts w:ascii="Arial" w:hAnsi="Arial" w:cs="Arial"/>
        </w:rPr>
      </w:pPr>
    </w:p>
    <w:p w:rsidR="00A615E5" w:rsidRPr="00167AF1" w:rsidRDefault="00A615E5">
      <w:pPr>
        <w:tabs>
          <w:tab w:val="left" w:pos="1985"/>
        </w:tabs>
        <w:jc w:val="both"/>
        <w:rPr>
          <w:rFonts w:ascii="Arial" w:hAnsi="Arial" w:cs="Arial"/>
        </w:rPr>
      </w:pPr>
    </w:p>
    <w:p w:rsidR="00A615E5" w:rsidRPr="00167AF1" w:rsidRDefault="00A615E5">
      <w:pPr>
        <w:pStyle w:val="Heading1"/>
        <w:tabs>
          <w:tab w:val="left" w:pos="720"/>
        </w:tabs>
        <w:rPr>
          <w:rFonts w:ascii="Arial" w:hAnsi="Arial" w:cs="Arial"/>
        </w:rPr>
      </w:pPr>
      <w:bookmarkStart w:id="1" w:name="__RefHeading___Toc195769657"/>
      <w:bookmarkEnd w:id="1"/>
      <w:r w:rsidRPr="00167AF1">
        <w:rPr>
          <w:rFonts w:ascii="Arial" w:hAnsi="Arial" w:cs="Arial"/>
        </w:rPr>
        <w:t>Objet du Marché public à procédure adaptée et exécution des prestations</w:t>
      </w:r>
    </w:p>
    <w:p w:rsidR="00A615E5" w:rsidRPr="00167AF1" w:rsidRDefault="00A615E5">
      <w:pPr>
        <w:rPr>
          <w:rFonts w:ascii="Arial" w:hAnsi="Arial" w:cs="Arial"/>
        </w:rPr>
      </w:pPr>
    </w:p>
    <w:p w:rsidR="00A615E5" w:rsidRPr="00167AF1" w:rsidRDefault="00A615E5">
      <w:pPr>
        <w:pStyle w:val="Heading2"/>
        <w:keepNext w:val="0"/>
        <w:tabs>
          <w:tab w:val="left" w:pos="576"/>
        </w:tabs>
        <w:spacing w:before="0" w:after="0"/>
        <w:rPr>
          <w:rFonts w:ascii="Arial" w:hAnsi="Arial" w:cs="Arial"/>
        </w:rPr>
      </w:pPr>
      <w:bookmarkStart w:id="2" w:name="__RefHeading___Toc195769658"/>
      <w:bookmarkEnd w:id="2"/>
      <w:r w:rsidRPr="00167AF1">
        <w:rPr>
          <w:rFonts w:ascii="Arial" w:hAnsi="Arial" w:cs="Arial"/>
        </w:rPr>
        <w:t>Objet général du Marché public à procédure adaptée (MAPA)</w:t>
      </w:r>
    </w:p>
    <w:p w:rsidR="00A615E5" w:rsidRPr="00167AF1" w:rsidRDefault="00A615E5">
      <w:pPr>
        <w:tabs>
          <w:tab w:val="left" w:pos="1985"/>
        </w:tabs>
        <w:rPr>
          <w:rFonts w:ascii="Arial" w:hAnsi="Arial" w:cs="Arial"/>
        </w:rPr>
      </w:pPr>
    </w:p>
    <w:p w:rsidR="00A615E5" w:rsidRDefault="00A615E5">
      <w:pPr>
        <w:tabs>
          <w:tab w:val="left" w:pos="1985"/>
        </w:tabs>
        <w:rPr>
          <w:rFonts w:ascii="Arial" w:hAnsi="Arial" w:cs="Arial"/>
        </w:rPr>
      </w:pPr>
      <w:r w:rsidRPr="00167AF1">
        <w:rPr>
          <w:rFonts w:ascii="Arial" w:hAnsi="Arial" w:cs="Arial"/>
        </w:rPr>
        <w:t>Le MAPA a pour objet</w:t>
      </w:r>
      <w:r>
        <w:rPr>
          <w:rFonts w:ascii="Arial" w:hAnsi="Arial" w:cs="Arial"/>
        </w:rPr>
        <w:t xml:space="preserve"> la photogravure, </w:t>
      </w:r>
      <w:r w:rsidRPr="00167AF1">
        <w:rPr>
          <w:rFonts w:ascii="Arial" w:hAnsi="Arial" w:cs="Arial"/>
        </w:rPr>
        <w:t xml:space="preserve">la mise en page et </w:t>
      </w:r>
      <w:r>
        <w:rPr>
          <w:rFonts w:ascii="Arial" w:hAnsi="Arial" w:cs="Arial"/>
        </w:rPr>
        <w:t>l</w:t>
      </w:r>
      <w:r w:rsidRPr="00167AF1">
        <w:rPr>
          <w:rFonts w:ascii="Arial" w:hAnsi="Arial" w:cs="Arial"/>
        </w:rPr>
        <w:t xml:space="preserve">’exécution de maquettes d’ouvrages d’architecture pour le service des éditions de l’École nationale supérieure d’architecture de Paris la Villette. </w:t>
      </w:r>
    </w:p>
    <w:p w:rsidR="00A615E5" w:rsidRDefault="00A615E5">
      <w:pPr>
        <w:tabs>
          <w:tab w:val="left" w:pos="1985"/>
        </w:tabs>
        <w:rPr>
          <w:rFonts w:ascii="Arial" w:hAnsi="Arial" w:cs="Arial"/>
        </w:rPr>
      </w:pPr>
    </w:p>
    <w:p w:rsidR="00A615E5" w:rsidRPr="00167AF1" w:rsidRDefault="00A615E5">
      <w:pPr>
        <w:tabs>
          <w:tab w:val="left" w:pos="1985"/>
        </w:tabs>
        <w:rPr>
          <w:rFonts w:ascii="Arial" w:hAnsi="Arial" w:cs="Arial"/>
        </w:rPr>
      </w:pPr>
      <w:r>
        <w:rPr>
          <w:rFonts w:ascii="Arial" w:hAnsi="Arial" w:cs="Arial"/>
        </w:rPr>
        <w:t xml:space="preserve">Dans la quasi totalité des cas, </w:t>
      </w:r>
      <w:r w:rsidRPr="00167AF1">
        <w:rPr>
          <w:rFonts w:ascii="Arial" w:hAnsi="Arial" w:cs="Arial"/>
        </w:rPr>
        <w:t xml:space="preserve">la mise en page </w:t>
      </w:r>
      <w:r>
        <w:rPr>
          <w:rFonts w:ascii="Arial" w:hAnsi="Arial" w:cs="Arial"/>
        </w:rPr>
        <w:t xml:space="preserve">se fait à partir d’une </w:t>
      </w:r>
      <w:r w:rsidRPr="00167AF1">
        <w:rPr>
          <w:rFonts w:ascii="Arial" w:hAnsi="Arial" w:cs="Arial"/>
        </w:rPr>
        <w:t xml:space="preserve">maquette </w:t>
      </w:r>
      <w:r>
        <w:rPr>
          <w:rFonts w:ascii="Arial" w:hAnsi="Arial" w:cs="Arial"/>
        </w:rPr>
        <w:t>préétablie correspondant à chacune collections existantes.</w:t>
      </w:r>
    </w:p>
    <w:p w:rsidR="00A615E5" w:rsidRPr="00167AF1" w:rsidRDefault="00A615E5">
      <w:pPr>
        <w:tabs>
          <w:tab w:val="left" w:pos="1985"/>
        </w:tabs>
        <w:rPr>
          <w:rFonts w:ascii="Arial" w:hAnsi="Arial" w:cs="Arial"/>
        </w:rPr>
      </w:pPr>
    </w:p>
    <w:p w:rsidR="00A615E5" w:rsidRPr="00167AF1" w:rsidRDefault="00A615E5">
      <w:pPr>
        <w:tabs>
          <w:tab w:val="left" w:pos="1985"/>
        </w:tabs>
        <w:rPr>
          <w:rFonts w:ascii="Arial" w:hAnsi="Arial" w:cs="Arial"/>
        </w:rPr>
      </w:pPr>
      <w:r w:rsidRPr="00167AF1">
        <w:rPr>
          <w:rFonts w:ascii="Arial" w:hAnsi="Arial" w:cs="Arial"/>
        </w:rPr>
        <w:t>L'ENSAPLV se réserve la possibilité de négocier avec les candidats.</w:t>
      </w:r>
    </w:p>
    <w:p w:rsidR="00A615E5" w:rsidRPr="00167AF1" w:rsidRDefault="00A615E5">
      <w:pPr>
        <w:tabs>
          <w:tab w:val="left" w:pos="1985"/>
        </w:tabs>
        <w:rPr>
          <w:rFonts w:ascii="Arial" w:hAnsi="Arial" w:cs="Arial"/>
        </w:rPr>
      </w:pPr>
    </w:p>
    <w:p w:rsidR="00A615E5" w:rsidRPr="00167AF1" w:rsidRDefault="00A615E5">
      <w:pPr>
        <w:pStyle w:val="Heading2"/>
        <w:rPr>
          <w:rFonts w:ascii="Arial" w:hAnsi="Arial" w:cs="Arial"/>
        </w:rPr>
      </w:pPr>
      <w:bookmarkStart w:id="3" w:name="__RefHeading___Toc195769660"/>
      <w:bookmarkEnd w:id="3"/>
      <w:r w:rsidRPr="00167AF1">
        <w:rPr>
          <w:rFonts w:ascii="Arial" w:hAnsi="Arial" w:cs="Arial"/>
        </w:rPr>
        <w:t>Objet détaillé/type de marché</w:t>
      </w:r>
    </w:p>
    <w:p w:rsidR="00A615E5" w:rsidRPr="00167AF1" w:rsidRDefault="00A615E5">
      <w:pPr>
        <w:tabs>
          <w:tab w:val="left" w:pos="1985"/>
        </w:tabs>
        <w:rPr>
          <w:rFonts w:ascii="Arial" w:hAnsi="Arial" w:cs="Arial"/>
        </w:rPr>
      </w:pPr>
    </w:p>
    <w:p w:rsidR="00A615E5" w:rsidRPr="00167AF1" w:rsidRDefault="00A615E5">
      <w:pPr>
        <w:pStyle w:val="Header"/>
        <w:numPr>
          <w:ilvl w:val="0"/>
          <w:numId w:val="3"/>
        </w:numPr>
        <w:tabs>
          <w:tab w:val="clear" w:pos="4536"/>
          <w:tab w:val="clear" w:pos="9072"/>
          <w:tab w:val="left" w:pos="0"/>
        </w:tabs>
        <w:rPr>
          <w:rFonts w:ascii="Arial" w:hAnsi="Arial" w:cs="Arial"/>
        </w:rPr>
      </w:pPr>
      <w:r w:rsidRPr="00167AF1">
        <w:rPr>
          <w:rFonts w:ascii="Arial" w:hAnsi="Arial" w:cs="Arial"/>
          <w:kern w:val="1"/>
        </w:rPr>
        <w:t xml:space="preserve">Marché de fournitures </w:t>
      </w:r>
    </w:p>
    <w:p w:rsidR="00A615E5" w:rsidRPr="00167AF1" w:rsidRDefault="00A615E5">
      <w:pPr>
        <w:tabs>
          <w:tab w:val="left" w:pos="1985"/>
        </w:tabs>
        <w:rPr>
          <w:rFonts w:ascii="Arial" w:hAnsi="Arial" w:cs="Arial"/>
        </w:rPr>
      </w:pPr>
      <w:r w:rsidRPr="00167AF1">
        <w:rPr>
          <w:rFonts w:ascii="Arial" w:hAnsi="Arial" w:cs="Arial"/>
        </w:rPr>
        <w:t xml:space="preserve">Description (achat, prise en crédit-bail, location, location-vente) : </w:t>
      </w:r>
    </w:p>
    <w:p w:rsidR="00A615E5" w:rsidRPr="00167AF1" w:rsidRDefault="00A615E5">
      <w:pPr>
        <w:tabs>
          <w:tab w:val="left" w:pos="1985"/>
        </w:tabs>
        <w:ind w:right="-108"/>
        <w:rPr>
          <w:rFonts w:ascii="Arial" w:hAnsi="Arial" w:cs="Arial"/>
        </w:rPr>
      </w:pPr>
      <w:r w:rsidRPr="00167AF1">
        <w:rPr>
          <w:rFonts w:ascii="Arial" w:hAnsi="Arial" w:cs="Arial"/>
        </w:rPr>
        <w:t xml:space="preserve">N° de référence principal de la nomenclature: </w:t>
      </w:r>
    </w:p>
    <w:p w:rsidR="00A615E5" w:rsidRPr="00167AF1" w:rsidRDefault="00A615E5">
      <w:pPr>
        <w:tabs>
          <w:tab w:val="left" w:pos="1985"/>
        </w:tabs>
        <w:rPr>
          <w:rFonts w:ascii="Arial" w:hAnsi="Arial" w:cs="Arial"/>
        </w:rPr>
      </w:pPr>
    </w:p>
    <w:p w:rsidR="00A615E5" w:rsidRPr="00167AF1" w:rsidRDefault="00A615E5">
      <w:pPr>
        <w:pStyle w:val="Header"/>
        <w:numPr>
          <w:ilvl w:val="0"/>
          <w:numId w:val="5"/>
        </w:numPr>
        <w:tabs>
          <w:tab w:val="clear" w:pos="4536"/>
          <w:tab w:val="clear" w:pos="9072"/>
          <w:tab w:val="left" w:pos="284"/>
        </w:tabs>
        <w:rPr>
          <w:rFonts w:ascii="Arial" w:hAnsi="Arial" w:cs="Arial"/>
        </w:rPr>
      </w:pPr>
      <w:r w:rsidRPr="00167AF1">
        <w:rPr>
          <w:rFonts w:ascii="Arial" w:hAnsi="Arial" w:cs="Arial"/>
          <w:kern w:val="1"/>
        </w:rPr>
        <w:t>Marché de services</w:t>
      </w:r>
    </w:p>
    <w:p w:rsidR="00A615E5" w:rsidRPr="00167AF1" w:rsidRDefault="00A615E5">
      <w:pPr>
        <w:tabs>
          <w:tab w:val="left" w:pos="1985"/>
        </w:tabs>
        <w:rPr>
          <w:rFonts w:ascii="Arial" w:hAnsi="Arial" w:cs="Arial"/>
        </w:rPr>
      </w:pPr>
      <w:r w:rsidRPr="00167AF1">
        <w:rPr>
          <w:rFonts w:ascii="Arial" w:hAnsi="Arial" w:cs="Arial"/>
        </w:rPr>
        <w:t>Description :</w:t>
      </w:r>
      <w:r w:rsidRPr="00167AF1">
        <w:rPr>
          <w:rFonts w:ascii="Arial" w:hAnsi="Arial" w:cs="Arial"/>
          <w:b/>
          <w:bCs/>
        </w:rPr>
        <w:t>Mise en page et maquette d’ouvrages d’architecture</w:t>
      </w:r>
    </w:p>
    <w:p w:rsidR="00A615E5" w:rsidRPr="00167AF1" w:rsidRDefault="00A615E5">
      <w:pPr>
        <w:tabs>
          <w:tab w:val="left" w:pos="1985"/>
        </w:tabs>
        <w:rPr>
          <w:rFonts w:ascii="Arial" w:hAnsi="Arial" w:cs="Arial"/>
        </w:rPr>
      </w:pPr>
    </w:p>
    <w:p w:rsidR="00A615E5" w:rsidRPr="00CF0E50" w:rsidRDefault="00A615E5" w:rsidP="00CF0E50">
      <w:pPr>
        <w:pStyle w:val="BodyText"/>
        <w:pBdr>
          <w:left w:val="double" w:sz="40" w:space="1" w:color="000000"/>
        </w:pBdr>
        <w:rPr>
          <w:rFonts w:ascii="Arial" w:hAnsi="Arial" w:cs="Arial"/>
        </w:rPr>
      </w:pPr>
      <w:r w:rsidRPr="00167AF1">
        <w:rPr>
          <w:rFonts w:ascii="Arial" w:hAnsi="Arial" w:cs="Arial"/>
        </w:rPr>
        <w:t xml:space="preserve">Nomenclature communautaire pertinente : </w:t>
      </w:r>
      <w:r w:rsidRPr="00CF0E50">
        <w:rPr>
          <w:rFonts w:ascii="Arial" w:hAnsi="Arial" w:cs="Arial"/>
        </w:rPr>
        <w:t>79822500-7 service de conception graphique</w:t>
      </w:r>
    </w:p>
    <w:p w:rsidR="00A615E5" w:rsidRPr="00167AF1" w:rsidRDefault="00A615E5">
      <w:pPr>
        <w:tabs>
          <w:tab w:val="left" w:pos="1985"/>
        </w:tabs>
        <w:rPr>
          <w:rFonts w:ascii="Arial" w:hAnsi="Arial" w:cs="Arial"/>
        </w:rPr>
      </w:pPr>
    </w:p>
    <w:p w:rsidR="00A615E5" w:rsidRPr="00167AF1" w:rsidRDefault="00A615E5">
      <w:pPr>
        <w:tabs>
          <w:tab w:val="left" w:pos="1985"/>
        </w:tabs>
        <w:rPr>
          <w:rFonts w:ascii="Arial" w:hAnsi="Arial" w:cs="Arial"/>
        </w:rPr>
      </w:pPr>
    </w:p>
    <w:p w:rsidR="00A615E5" w:rsidRPr="00167AF1" w:rsidRDefault="00A615E5">
      <w:pPr>
        <w:pStyle w:val="Heading3"/>
        <w:rPr>
          <w:rFonts w:ascii="Arial" w:hAnsi="Arial" w:cs="Arial"/>
        </w:rPr>
      </w:pPr>
      <w:bookmarkStart w:id="4" w:name="__RefHeading___Toc195769661"/>
      <w:r w:rsidRPr="00167AF1">
        <w:rPr>
          <w:rFonts w:ascii="Arial" w:hAnsi="Arial" w:cs="Arial"/>
        </w:rPr>
        <w:t>Lieu d’exécution de la prestation :</w:t>
      </w:r>
      <w:bookmarkEnd w:id="4"/>
    </w:p>
    <w:p w:rsidR="00A615E5" w:rsidRPr="00167AF1" w:rsidRDefault="00A615E5">
      <w:pPr>
        <w:tabs>
          <w:tab w:val="left" w:pos="1985"/>
        </w:tabs>
        <w:rPr>
          <w:rFonts w:ascii="Arial" w:hAnsi="Arial" w:cs="Arial"/>
        </w:rPr>
      </w:pPr>
    </w:p>
    <w:p w:rsidR="00A615E5" w:rsidRPr="00167AF1" w:rsidRDefault="00A615E5">
      <w:pPr>
        <w:rPr>
          <w:rFonts w:ascii="Arial" w:hAnsi="Arial" w:cs="Arial"/>
        </w:rPr>
      </w:pPr>
      <w:r w:rsidRPr="00167AF1">
        <w:rPr>
          <w:rFonts w:ascii="Arial" w:hAnsi="Arial" w:cs="Arial"/>
        </w:rPr>
        <w:t>Les livraisons se font à :</w:t>
      </w:r>
    </w:p>
    <w:p w:rsidR="00A615E5" w:rsidRPr="00167AF1" w:rsidRDefault="00A615E5">
      <w:pPr>
        <w:rPr>
          <w:rFonts w:ascii="Arial" w:hAnsi="Arial" w:cs="Arial"/>
        </w:rPr>
      </w:pPr>
      <w:r w:rsidRPr="00167AF1">
        <w:rPr>
          <w:rFonts w:ascii="Arial" w:hAnsi="Arial" w:cs="Arial"/>
        </w:rPr>
        <w:t>ENSAPLV</w:t>
      </w:r>
    </w:p>
    <w:p w:rsidR="00A615E5" w:rsidRPr="00167AF1" w:rsidRDefault="00A615E5">
      <w:pPr>
        <w:rPr>
          <w:rFonts w:ascii="Arial" w:hAnsi="Arial" w:cs="Arial"/>
        </w:rPr>
      </w:pPr>
      <w:r w:rsidRPr="00167AF1">
        <w:rPr>
          <w:rFonts w:ascii="Arial" w:hAnsi="Arial" w:cs="Arial"/>
        </w:rPr>
        <w:t>144, avenue de Flandre, 75019 Paris</w:t>
      </w:r>
    </w:p>
    <w:p w:rsidR="00A615E5" w:rsidRDefault="00A615E5">
      <w:pPr>
        <w:rPr>
          <w:rFonts w:ascii="Arial" w:hAnsi="Arial" w:cs="Arial"/>
        </w:rPr>
      </w:pPr>
    </w:p>
    <w:p w:rsidR="00A615E5" w:rsidRPr="00167AF1" w:rsidRDefault="00A615E5">
      <w:pPr>
        <w:rPr>
          <w:rFonts w:ascii="Arial" w:hAnsi="Arial" w:cs="Arial"/>
        </w:rPr>
      </w:pPr>
      <w:r w:rsidRPr="00167AF1">
        <w:rPr>
          <w:rFonts w:ascii="Arial" w:hAnsi="Arial" w:cs="Arial"/>
        </w:rPr>
        <w:t>Les matériels devront</w:t>
      </w:r>
      <w:r>
        <w:rPr>
          <w:rFonts w:ascii="Arial" w:hAnsi="Arial" w:cs="Arial"/>
        </w:rPr>
        <w:t xml:space="preserve"> principalement </w:t>
      </w:r>
      <w:r w:rsidRPr="00167AF1">
        <w:rPr>
          <w:rFonts w:ascii="Arial" w:hAnsi="Arial" w:cs="Arial"/>
        </w:rPr>
        <w:t>être livrés sous forme électroniqueou, selon les cas,entre 9h00 et 12h30</w:t>
      </w:r>
      <w:r>
        <w:rPr>
          <w:rFonts w:ascii="Arial" w:hAnsi="Arial" w:cs="Arial"/>
        </w:rPr>
        <w:t xml:space="preserve"> -</w:t>
      </w:r>
      <w:r w:rsidRPr="00167AF1">
        <w:rPr>
          <w:rFonts w:ascii="Arial" w:hAnsi="Arial" w:cs="Arial"/>
        </w:rPr>
        <w:t xml:space="preserve">14h30 </w:t>
      </w:r>
      <w:r>
        <w:rPr>
          <w:rFonts w:ascii="Arial" w:hAnsi="Arial" w:cs="Arial"/>
        </w:rPr>
        <w:t>et</w:t>
      </w:r>
      <w:r w:rsidRPr="00167AF1">
        <w:rPr>
          <w:rFonts w:ascii="Arial" w:hAnsi="Arial" w:cs="Arial"/>
        </w:rPr>
        <w:t>17h30.</w:t>
      </w:r>
    </w:p>
    <w:p w:rsidR="00A615E5" w:rsidRPr="00167AF1" w:rsidRDefault="00A615E5" w:rsidP="00C6609B">
      <w:pPr>
        <w:tabs>
          <w:tab w:val="left" w:pos="1985"/>
        </w:tabs>
        <w:jc w:val="both"/>
        <w:rPr>
          <w:rFonts w:ascii="Arial" w:hAnsi="Arial" w:cs="Arial"/>
        </w:rPr>
      </w:pPr>
    </w:p>
    <w:p w:rsidR="00A615E5" w:rsidRDefault="00A615E5">
      <w:pPr>
        <w:suppressAutoHyphens w:val="0"/>
        <w:rPr>
          <w:rFonts w:ascii="Arial" w:hAnsi="Arial" w:cs="Arial"/>
        </w:rPr>
      </w:pPr>
      <w:bookmarkStart w:id="5" w:name="__RefHeading___Toc195769662"/>
      <w:r>
        <w:rPr>
          <w:rFonts w:ascii="Arial" w:hAnsi="Arial" w:cs="Arial"/>
        </w:rPr>
        <w:br w:type="page"/>
      </w:r>
    </w:p>
    <w:p w:rsidR="00A615E5" w:rsidRPr="00167AF1" w:rsidRDefault="00A615E5">
      <w:pPr>
        <w:pStyle w:val="Heading1"/>
        <w:rPr>
          <w:rFonts w:ascii="Arial" w:hAnsi="Arial" w:cs="Arial"/>
        </w:rPr>
      </w:pPr>
      <w:r w:rsidRPr="00167AF1">
        <w:rPr>
          <w:rFonts w:ascii="Arial" w:hAnsi="Arial" w:cs="Arial"/>
        </w:rPr>
        <w:t xml:space="preserve">Forme des commandes émises sur la base du présent </w:t>
      </w:r>
      <w:bookmarkEnd w:id="5"/>
      <w:r w:rsidRPr="00167AF1">
        <w:rPr>
          <w:rFonts w:ascii="Arial" w:hAnsi="Arial" w:cs="Arial"/>
        </w:rPr>
        <w:t>Marché public à procédure adaptée</w:t>
      </w:r>
    </w:p>
    <w:p w:rsidR="00A615E5" w:rsidRPr="00167AF1" w:rsidRDefault="00A615E5">
      <w:pPr>
        <w:pStyle w:val="Default"/>
        <w:ind w:left="120"/>
        <w:jc w:val="both"/>
        <w:rPr>
          <w:rFonts w:ascii="Arial" w:hAnsi="Arial" w:cs="Arial"/>
        </w:rPr>
      </w:pPr>
    </w:p>
    <w:p w:rsidR="00A615E5" w:rsidRPr="00167AF1" w:rsidRDefault="00A615E5" w:rsidP="000128B5">
      <w:pPr>
        <w:pStyle w:val="Default"/>
        <w:ind w:left="120"/>
        <w:jc w:val="both"/>
        <w:rPr>
          <w:rFonts w:ascii="Arial" w:hAnsi="Arial" w:cs="Arial"/>
        </w:rPr>
      </w:pPr>
      <w:r w:rsidRPr="00167AF1">
        <w:rPr>
          <w:rFonts w:ascii="Arial" w:hAnsi="Arial" w:cs="Arial"/>
        </w:rPr>
        <w:t>Les prestations effectuées sur la base du présent Marché public à procédure adaptée (MAPA) sont à bons de commande - en application des articles 78 et 80 du décret du 25 mars 2016 relatif aux marchés publics.</w:t>
      </w:r>
    </w:p>
    <w:p w:rsidR="00A615E5" w:rsidRPr="00167AF1" w:rsidRDefault="00A615E5">
      <w:pPr>
        <w:pStyle w:val="Default"/>
        <w:ind w:left="120"/>
        <w:jc w:val="both"/>
        <w:rPr>
          <w:rFonts w:ascii="Arial" w:hAnsi="Arial" w:cs="Arial"/>
        </w:rPr>
      </w:pPr>
    </w:p>
    <w:p w:rsidR="00A615E5" w:rsidRPr="00167AF1" w:rsidRDefault="00A615E5">
      <w:pPr>
        <w:pStyle w:val="Default"/>
        <w:ind w:left="120"/>
        <w:jc w:val="both"/>
        <w:rPr>
          <w:rFonts w:ascii="Arial" w:hAnsi="Arial" w:cs="Arial"/>
        </w:rPr>
      </w:pPr>
      <w:r w:rsidRPr="00167AF1">
        <w:rPr>
          <w:rFonts w:ascii="Arial" w:hAnsi="Arial" w:cs="Arial"/>
        </w:rPr>
        <w:t>Le service des éditions de la Villette du pouvoir adjudicateur est l’interlocuteur du titulaire pour la réalisation des prestations faisant l’objet du présent Marché public à procédure adaptée (MAPA).</w:t>
      </w:r>
    </w:p>
    <w:p w:rsidR="00A615E5" w:rsidRPr="00167AF1" w:rsidRDefault="00A615E5">
      <w:pPr>
        <w:pStyle w:val="Default"/>
        <w:ind w:left="120"/>
        <w:jc w:val="both"/>
        <w:rPr>
          <w:rFonts w:ascii="Arial" w:hAnsi="Arial" w:cs="Arial"/>
        </w:rPr>
      </w:pPr>
    </w:p>
    <w:p w:rsidR="00A615E5" w:rsidRPr="00167AF1" w:rsidRDefault="00A615E5">
      <w:pPr>
        <w:pStyle w:val="Default"/>
        <w:ind w:left="120"/>
        <w:jc w:val="both"/>
        <w:rPr>
          <w:rFonts w:ascii="Arial" w:hAnsi="Arial" w:cs="Arial"/>
        </w:rPr>
      </w:pPr>
      <w:r w:rsidRPr="00167AF1">
        <w:rPr>
          <w:rFonts w:ascii="Arial" w:hAnsi="Arial" w:cs="Arial"/>
        </w:rPr>
        <w:t xml:space="preserve">Service des EDITIONS DE LA VILLETTE - ENSAPLV </w:t>
      </w:r>
    </w:p>
    <w:p w:rsidR="00A615E5" w:rsidRPr="00167AF1" w:rsidRDefault="00A615E5">
      <w:pPr>
        <w:pStyle w:val="Default"/>
        <w:ind w:left="120"/>
        <w:jc w:val="both"/>
        <w:rPr>
          <w:rFonts w:ascii="Arial" w:hAnsi="Arial" w:cs="Arial"/>
        </w:rPr>
      </w:pPr>
      <w:r w:rsidRPr="00167AF1">
        <w:rPr>
          <w:rFonts w:ascii="Arial" w:hAnsi="Arial" w:cs="Arial"/>
        </w:rPr>
        <w:t xml:space="preserve">144 Avenue de Flandre </w:t>
      </w:r>
    </w:p>
    <w:p w:rsidR="00A615E5" w:rsidRPr="00167AF1" w:rsidRDefault="00A615E5">
      <w:pPr>
        <w:pStyle w:val="Default"/>
        <w:ind w:left="120"/>
        <w:jc w:val="both"/>
        <w:rPr>
          <w:rFonts w:ascii="Arial" w:hAnsi="Arial" w:cs="Arial"/>
        </w:rPr>
      </w:pPr>
      <w:r w:rsidRPr="00167AF1">
        <w:rPr>
          <w:rFonts w:ascii="Arial" w:hAnsi="Arial" w:cs="Arial"/>
        </w:rPr>
        <w:t>75019 Paris.</w:t>
      </w:r>
    </w:p>
    <w:p w:rsidR="00A615E5" w:rsidRPr="00167AF1" w:rsidRDefault="00A615E5">
      <w:pPr>
        <w:pStyle w:val="Default"/>
        <w:ind w:left="120"/>
        <w:jc w:val="both"/>
        <w:rPr>
          <w:rFonts w:ascii="Arial" w:hAnsi="Arial" w:cs="Arial"/>
        </w:rPr>
      </w:pPr>
    </w:p>
    <w:p w:rsidR="00A615E5" w:rsidRPr="00167AF1" w:rsidRDefault="00A615E5">
      <w:pPr>
        <w:pStyle w:val="Default"/>
        <w:ind w:left="120"/>
        <w:jc w:val="both"/>
        <w:rPr>
          <w:rFonts w:ascii="Arial" w:hAnsi="Arial" w:cs="Arial"/>
        </w:rPr>
      </w:pPr>
      <w:r w:rsidRPr="00167AF1">
        <w:rPr>
          <w:rFonts w:ascii="Arial" w:hAnsi="Arial" w:cs="Arial"/>
        </w:rPr>
        <w:t>Il communiquera au titulaire le nom de la personne chargée du suivi de l’exécution des prestations lors de la notification du Marché public à procédure adaptée (MAPA).</w:t>
      </w:r>
    </w:p>
    <w:p w:rsidR="00A615E5" w:rsidRPr="00167AF1" w:rsidRDefault="00A615E5">
      <w:pPr>
        <w:pStyle w:val="Default"/>
        <w:jc w:val="both"/>
        <w:rPr>
          <w:rFonts w:ascii="Arial" w:hAnsi="Arial" w:cs="Arial"/>
        </w:rPr>
      </w:pPr>
    </w:p>
    <w:p w:rsidR="00A615E5" w:rsidRPr="00167AF1" w:rsidRDefault="00A615E5">
      <w:pPr>
        <w:pStyle w:val="Default"/>
        <w:jc w:val="both"/>
        <w:rPr>
          <w:rFonts w:ascii="Arial" w:hAnsi="Arial" w:cs="Arial"/>
        </w:rPr>
      </w:pPr>
    </w:p>
    <w:p w:rsidR="00A615E5" w:rsidRPr="00167AF1" w:rsidRDefault="00A615E5">
      <w:pPr>
        <w:pStyle w:val="Heading1"/>
        <w:rPr>
          <w:rFonts w:ascii="Arial" w:hAnsi="Arial" w:cs="Arial"/>
          <w:u w:val="single"/>
        </w:rPr>
      </w:pPr>
      <w:bookmarkStart w:id="6" w:name="__RefHeading___Toc195769663"/>
      <w:r w:rsidRPr="00167AF1">
        <w:rPr>
          <w:rFonts w:ascii="Arial" w:hAnsi="Arial" w:cs="Arial"/>
        </w:rPr>
        <w:t xml:space="preserve">Modalités d’attribution des commandes établies sur la base du présent </w:t>
      </w:r>
      <w:bookmarkEnd w:id="6"/>
      <w:r w:rsidRPr="00167AF1">
        <w:rPr>
          <w:rFonts w:ascii="Arial" w:hAnsi="Arial" w:cs="Arial"/>
        </w:rPr>
        <w:t>marché</w:t>
      </w:r>
    </w:p>
    <w:p w:rsidR="00A615E5" w:rsidRPr="00167AF1" w:rsidRDefault="00A615E5">
      <w:pPr>
        <w:jc w:val="both"/>
        <w:rPr>
          <w:rFonts w:ascii="Arial" w:hAnsi="Arial" w:cs="Arial"/>
          <w:color w:val="000000"/>
        </w:rPr>
      </w:pPr>
    </w:p>
    <w:p w:rsidR="00A615E5" w:rsidRPr="00167AF1" w:rsidRDefault="00A615E5">
      <w:pPr>
        <w:jc w:val="both"/>
        <w:rPr>
          <w:rFonts w:ascii="Arial" w:hAnsi="Arial" w:cs="Arial"/>
        </w:rPr>
      </w:pPr>
      <w:r w:rsidRPr="00167AF1">
        <w:rPr>
          <w:rFonts w:ascii="Arial" w:hAnsi="Arial" w:cs="Arial"/>
          <w:color w:val="000000"/>
        </w:rPr>
        <w:t xml:space="preserve">L’offre économiquement et qualitativement la plus avantageuse sera déterminées en fonction des critères de jugement précisés </w:t>
      </w:r>
      <w:r w:rsidRPr="00CF0E50">
        <w:rPr>
          <w:rFonts w:ascii="Arial" w:hAnsi="Arial" w:cs="Arial"/>
          <w:color w:val="000000"/>
        </w:rPr>
        <w:t xml:space="preserve">dans le </w:t>
      </w:r>
      <w:r>
        <w:rPr>
          <w:rFonts w:ascii="Arial" w:hAnsi="Arial" w:cs="Arial"/>
          <w:color w:val="000000"/>
        </w:rPr>
        <w:t xml:space="preserve">règlement </w:t>
      </w:r>
      <w:r w:rsidRPr="00CF0E50">
        <w:rPr>
          <w:rFonts w:ascii="Arial" w:hAnsi="Arial" w:cs="Arial"/>
          <w:color w:val="000000"/>
        </w:rPr>
        <w:t>de consultation, article 8.</w:t>
      </w:r>
    </w:p>
    <w:p w:rsidR="00A615E5" w:rsidRPr="00167AF1" w:rsidRDefault="00A615E5">
      <w:pPr>
        <w:pStyle w:val="Default"/>
        <w:jc w:val="both"/>
        <w:rPr>
          <w:rFonts w:ascii="Arial" w:hAnsi="Arial" w:cs="Arial"/>
        </w:rPr>
      </w:pPr>
    </w:p>
    <w:p w:rsidR="00A615E5" w:rsidRPr="00167AF1" w:rsidRDefault="00A615E5">
      <w:pPr>
        <w:autoSpaceDE w:val="0"/>
        <w:jc w:val="both"/>
        <w:rPr>
          <w:rFonts w:ascii="Arial" w:hAnsi="Arial" w:cs="Arial"/>
        </w:rPr>
      </w:pPr>
      <w:r w:rsidRPr="00167AF1">
        <w:rPr>
          <w:rFonts w:ascii="Arial" w:hAnsi="Arial" w:cs="Arial"/>
        </w:rPr>
        <w:t>Le titulaire du Marché public à procédure adaptée (MAPA) devr</w:t>
      </w:r>
      <w:r>
        <w:rPr>
          <w:rFonts w:ascii="Arial" w:hAnsi="Arial" w:cs="Arial"/>
        </w:rPr>
        <w:t>a</w:t>
      </w:r>
      <w:r w:rsidRPr="00167AF1">
        <w:rPr>
          <w:rFonts w:ascii="Arial" w:hAnsi="Arial" w:cs="Arial"/>
        </w:rPr>
        <w:t xml:space="preserve"> déposer </w:t>
      </w:r>
      <w:r w:rsidRPr="00CF0E50">
        <w:rPr>
          <w:rFonts w:ascii="Arial" w:hAnsi="Arial" w:cs="Arial"/>
        </w:rPr>
        <w:t>une offre à chaque consultation</w:t>
      </w:r>
      <w:r w:rsidRPr="00167AF1">
        <w:rPr>
          <w:rFonts w:ascii="Arial" w:hAnsi="Arial" w:cs="Arial"/>
        </w:rPr>
        <w:t xml:space="preserve"> sur la base du Marché public à procédure adaptée (MAPA).</w:t>
      </w:r>
    </w:p>
    <w:p w:rsidR="00A615E5" w:rsidRPr="00167AF1" w:rsidRDefault="00A615E5">
      <w:pPr>
        <w:pStyle w:val="Default"/>
        <w:jc w:val="both"/>
        <w:rPr>
          <w:rFonts w:ascii="Arial" w:hAnsi="Arial" w:cs="Arial"/>
        </w:rPr>
      </w:pPr>
    </w:p>
    <w:p w:rsidR="00A615E5" w:rsidRDefault="00A615E5">
      <w:pPr>
        <w:pStyle w:val="Default"/>
        <w:jc w:val="both"/>
        <w:rPr>
          <w:rFonts w:ascii="Arial" w:hAnsi="Arial" w:cs="Arial"/>
        </w:rPr>
      </w:pPr>
      <w:r w:rsidRPr="00167AF1">
        <w:rPr>
          <w:rFonts w:ascii="Arial" w:hAnsi="Arial" w:cs="Arial"/>
        </w:rPr>
        <w:t>L’ENSAPLV formalis</w:t>
      </w:r>
      <w:r>
        <w:rPr>
          <w:rFonts w:ascii="Arial" w:hAnsi="Arial" w:cs="Arial"/>
        </w:rPr>
        <w:t xml:space="preserve">era les commandes fondées sur le </w:t>
      </w:r>
      <w:r w:rsidRPr="00167AF1">
        <w:rPr>
          <w:rFonts w:ascii="Arial" w:hAnsi="Arial" w:cs="Arial"/>
        </w:rPr>
        <w:t>Marché public à procédure adaptée (MAPA) pa</w:t>
      </w:r>
      <w:r>
        <w:rPr>
          <w:rFonts w:ascii="Arial" w:hAnsi="Arial" w:cs="Arial"/>
        </w:rPr>
        <w:t>r l’envoi d’un bon de commande</w:t>
      </w:r>
      <w:r w:rsidRPr="00167AF1">
        <w:rPr>
          <w:rFonts w:ascii="Arial" w:hAnsi="Arial" w:cs="Arial"/>
        </w:rPr>
        <w:t xml:space="preserve">. </w:t>
      </w:r>
    </w:p>
    <w:p w:rsidR="00A615E5" w:rsidRDefault="00A615E5">
      <w:pPr>
        <w:pStyle w:val="Default"/>
        <w:jc w:val="both"/>
        <w:rPr>
          <w:rFonts w:ascii="Arial" w:hAnsi="Arial" w:cs="Arial"/>
        </w:rPr>
      </w:pPr>
    </w:p>
    <w:p w:rsidR="00A615E5" w:rsidRPr="00167AF1" w:rsidRDefault="00A615E5">
      <w:pPr>
        <w:pStyle w:val="Default"/>
        <w:jc w:val="both"/>
        <w:rPr>
          <w:rFonts w:ascii="Arial" w:hAnsi="Arial" w:cs="Arial"/>
        </w:rPr>
      </w:pPr>
    </w:p>
    <w:p w:rsidR="00A615E5" w:rsidRPr="00167AF1" w:rsidRDefault="00A615E5">
      <w:pPr>
        <w:pStyle w:val="Heading1"/>
        <w:rPr>
          <w:rFonts w:ascii="Arial" w:hAnsi="Arial" w:cs="Arial"/>
        </w:rPr>
      </w:pPr>
      <w:bookmarkStart w:id="7" w:name="__RefHeading___Toc195769664"/>
      <w:bookmarkEnd w:id="7"/>
      <w:r w:rsidRPr="00167AF1">
        <w:rPr>
          <w:rFonts w:ascii="Arial" w:hAnsi="Arial" w:cs="Arial"/>
        </w:rPr>
        <w:t>Pièces composant le marché</w:t>
      </w:r>
    </w:p>
    <w:p w:rsidR="00A615E5" w:rsidRPr="00167AF1" w:rsidRDefault="00A615E5">
      <w:pPr>
        <w:autoSpaceDE w:val="0"/>
        <w:rPr>
          <w:rFonts w:ascii="Arial" w:hAnsi="Arial" w:cs="Arial"/>
        </w:rPr>
      </w:pPr>
    </w:p>
    <w:p w:rsidR="00A615E5" w:rsidRPr="00167AF1" w:rsidRDefault="00A615E5">
      <w:pPr>
        <w:autoSpaceDE w:val="0"/>
        <w:rPr>
          <w:rFonts w:ascii="Arial" w:hAnsi="Arial" w:cs="Arial"/>
        </w:rPr>
      </w:pPr>
      <w:r w:rsidRPr="00167AF1">
        <w:rPr>
          <w:rFonts w:ascii="Arial" w:hAnsi="Arial" w:cs="Arial"/>
        </w:rPr>
        <w:t>Les pièces contractuelles du Marché public à procédure adaptée (MAPA)  sont les suivantes par ordre de priorité décroissante :</w:t>
      </w:r>
    </w:p>
    <w:p w:rsidR="00A615E5" w:rsidRPr="00167AF1" w:rsidRDefault="00A615E5">
      <w:pPr>
        <w:autoSpaceDE w:val="0"/>
        <w:rPr>
          <w:rFonts w:ascii="Arial" w:hAnsi="Arial" w:cs="Arial"/>
        </w:rPr>
      </w:pPr>
    </w:p>
    <w:p w:rsidR="00A615E5" w:rsidRPr="00167AF1" w:rsidRDefault="00A615E5" w:rsidP="00062FE2">
      <w:pPr>
        <w:rPr>
          <w:rFonts w:ascii="Arial" w:hAnsi="Arial" w:cs="Arial"/>
        </w:rPr>
      </w:pPr>
      <w:r w:rsidRPr="00167AF1">
        <w:rPr>
          <w:rFonts w:ascii="Arial" w:hAnsi="Arial" w:cs="Arial"/>
        </w:rPr>
        <w:t xml:space="preserve">Pièces particulières du Marché public à procédure adaptée (MAPA) : </w:t>
      </w:r>
    </w:p>
    <w:p w:rsidR="00A615E5" w:rsidRPr="00167AF1" w:rsidRDefault="00A615E5" w:rsidP="00062FE2">
      <w:pPr>
        <w:rPr>
          <w:rFonts w:ascii="Arial" w:hAnsi="Arial" w:cs="Arial"/>
        </w:rPr>
      </w:pPr>
    </w:p>
    <w:p w:rsidR="00A615E5" w:rsidRPr="00167AF1" w:rsidRDefault="00A615E5">
      <w:pPr>
        <w:pStyle w:val="Header"/>
        <w:numPr>
          <w:ilvl w:val="0"/>
          <w:numId w:val="5"/>
        </w:numPr>
        <w:tabs>
          <w:tab w:val="clear" w:pos="4536"/>
          <w:tab w:val="clear" w:pos="9072"/>
          <w:tab w:val="left" w:pos="284"/>
        </w:tabs>
        <w:rPr>
          <w:rFonts w:ascii="Arial" w:hAnsi="Arial" w:cs="Arial"/>
          <w:kern w:val="1"/>
        </w:rPr>
      </w:pPr>
      <w:r w:rsidRPr="00167AF1">
        <w:rPr>
          <w:rFonts w:ascii="Arial" w:hAnsi="Arial" w:cs="Arial"/>
          <w:kern w:val="1"/>
        </w:rPr>
        <w:t>Le présent CCAP</w:t>
      </w:r>
    </w:p>
    <w:p w:rsidR="00A615E5" w:rsidRPr="00167AF1" w:rsidRDefault="00A615E5">
      <w:pPr>
        <w:pStyle w:val="Header"/>
        <w:numPr>
          <w:ilvl w:val="0"/>
          <w:numId w:val="5"/>
        </w:numPr>
        <w:tabs>
          <w:tab w:val="clear" w:pos="4536"/>
          <w:tab w:val="clear" w:pos="9072"/>
          <w:tab w:val="left" w:pos="284"/>
        </w:tabs>
        <w:rPr>
          <w:rFonts w:ascii="Arial" w:hAnsi="Arial" w:cs="Arial"/>
          <w:kern w:val="1"/>
        </w:rPr>
      </w:pPr>
      <w:r w:rsidRPr="00167AF1">
        <w:rPr>
          <w:rFonts w:ascii="Arial" w:hAnsi="Arial" w:cs="Arial"/>
          <w:kern w:val="1"/>
        </w:rPr>
        <w:t xml:space="preserve">Les bons de commande établis sur la base du Marché public à procédure adaptée (MAPA), </w:t>
      </w:r>
      <w:r w:rsidRPr="00167AF1">
        <w:rPr>
          <w:rFonts w:ascii="Arial" w:hAnsi="Arial" w:cs="Arial"/>
          <w:b/>
          <w:bCs/>
        </w:rPr>
        <w:t>voir CCTP – Article 2</w:t>
      </w:r>
    </w:p>
    <w:p w:rsidR="00A615E5" w:rsidRPr="00167AF1" w:rsidRDefault="00A615E5">
      <w:pPr>
        <w:pStyle w:val="Header"/>
        <w:numPr>
          <w:ilvl w:val="0"/>
          <w:numId w:val="5"/>
        </w:numPr>
        <w:tabs>
          <w:tab w:val="clear" w:pos="4536"/>
          <w:tab w:val="clear" w:pos="9072"/>
          <w:tab w:val="left" w:pos="284"/>
        </w:tabs>
        <w:rPr>
          <w:rFonts w:ascii="Arial" w:hAnsi="Arial" w:cs="Arial"/>
          <w:kern w:val="1"/>
        </w:rPr>
      </w:pPr>
      <w:r w:rsidRPr="00167AF1">
        <w:rPr>
          <w:rFonts w:ascii="Arial" w:hAnsi="Arial" w:cs="Arial"/>
          <w:kern w:val="1"/>
        </w:rPr>
        <w:t>Le cahier des clauses techniques particulières (CCTP)</w:t>
      </w:r>
    </w:p>
    <w:p w:rsidR="00A615E5" w:rsidRPr="00167AF1" w:rsidRDefault="00A615E5">
      <w:pPr>
        <w:pStyle w:val="Header"/>
        <w:numPr>
          <w:ilvl w:val="0"/>
          <w:numId w:val="5"/>
        </w:numPr>
        <w:tabs>
          <w:tab w:val="clear" w:pos="4536"/>
          <w:tab w:val="clear" w:pos="9072"/>
          <w:tab w:val="left" w:pos="284"/>
        </w:tabs>
        <w:rPr>
          <w:rFonts w:ascii="Arial" w:hAnsi="Arial" w:cs="Arial"/>
        </w:rPr>
      </w:pPr>
      <w:r w:rsidRPr="00167AF1">
        <w:rPr>
          <w:rFonts w:ascii="Arial" w:hAnsi="Arial" w:cs="Arial"/>
          <w:kern w:val="1"/>
        </w:rPr>
        <w:t>Un bordereau de prix unitaires portant sur les termes définis dans le présent Marché public à procédure adaptée (MAPA) répondant aux besoins du Cahier des Clauses Techniques Particulières.</w:t>
      </w:r>
    </w:p>
    <w:p w:rsidR="00A615E5" w:rsidRPr="00167AF1" w:rsidRDefault="00A615E5">
      <w:pPr>
        <w:numPr>
          <w:ilvl w:val="0"/>
          <w:numId w:val="5"/>
        </w:numPr>
        <w:tabs>
          <w:tab w:val="left" w:pos="284"/>
        </w:tabs>
        <w:rPr>
          <w:rFonts w:ascii="Arial" w:hAnsi="Arial" w:cs="Arial"/>
        </w:rPr>
      </w:pPr>
      <w:r w:rsidRPr="00167AF1">
        <w:rPr>
          <w:rFonts w:ascii="Arial" w:hAnsi="Arial" w:cs="Arial"/>
        </w:rPr>
        <w:t>Des références de prestations analogues</w:t>
      </w:r>
    </w:p>
    <w:p w:rsidR="00A615E5" w:rsidRPr="00167AF1" w:rsidRDefault="00A615E5">
      <w:pPr>
        <w:pStyle w:val="Default"/>
        <w:numPr>
          <w:ilvl w:val="0"/>
          <w:numId w:val="5"/>
        </w:numPr>
        <w:tabs>
          <w:tab w:val="left" w:pos="0"/>
        </w:tabs>
        <w:jc w:val="both"/>
        <w:rPr>
          <w:rFonts w:ascii="Arial" w:hAnsi="Arial" w:cs="Arial"/>
        </w:rPr>
      </w:pPr>
      <w:r w:rsidRPr="00167AF1">
        <w:rPr>
          <w:rFonts w:ascii="Arial" w:hAnsi="Arial" w:cs="Arial"/>
        </w:rPr>
        <w:t>Tout élément que le candidat jugera utile à l’analyse de son offre</w:t>
      </w:r>
    </w:p>
    <w:p w:rsidR="00A615E5" w:rsidRPr="00167AF1" w:rsidRDefault="00A615E5">
      <w:pPr>
        <w:pStyle w:val="Default"/>
        <w:jc w:val="both"/>
        <w:rPr>
          <w:rFonts w:ascii="Arial" w:hAnsi="Arial" w:cs="Arial"/>
        </w:rPr>
      </w:pPr>
    </w:p>
    <w:p w:rsidR="00A615E5" w:rsidRPr="00167AF1" w:rsidRDefault="00A615E5">
      <w:pPr>
        <w:rPr>
          <w:rFonts w:ascii="Arial" w:hAnsi="Arial" w:cs="Arial"/>
        </w:rPr>
      </w:pPr>
    </w:p>
    <w:p w:rsidR="00A615E5" w:rsidRPr="00167AF1" w:rsidRDefault="00A615E5">
      <w:pPr>
        <w:pStyle w:val="Heading1"/>
        <w:rPr>
          <w:rFonts w:ascii="Arial" w:hAnsi="Arial" w:cs="Arial"/>
        </w:rPr>
      </w:pPr>
      <w:bookmarkStart w:id="8" w:name="__RefHeading___Toc195769665"/>
      <w:bookmarkEnd w:id="8"/>
      <w:r w:rsidRPr="00167AF1">
        <w:rPr>
          <w:rFonts w:ascii="Arial" w:hAnsi="Arial" w:cs="Arial"/>
        </w:rPr>
        <w:t>Durée</w:t>
      </w:r>
    </w:p>
    <w:p w:rsidR="00A615E5" w:rsidRPr="00167AF1" w:rsidRDefault="00A615E5">
      <w:pPr>
        <w:tabs>
          <w:tab w:val="left" w:pos="1985"/>
        </w:tabs>
        <w:jc w:val="both"/>
        <w:rPr>
          <w:rFonts w:ascii="Arial" w:hAnsi="Arial" w:cs="Arial"/>
        </w:rPr>
      </w:pPr>
    </w:p>
    <w:p w:rsidR="00A615E5" w:rsidRPr="00167AF1" w:rsidRDefault="00A615E5">
      <w:pPr>
        <w:tabs>
          <w:tab w:val="left" w:pos="1985"/>
        </w:tabs>
        <w:jc w:val="both"/>
        <w:rPr>
          <w:rFonts w:ascii="Arial" w:hAnsi="Arial" w:cs="Arial"/>
        </w:rPr>
      </w:pPr>
      <w:r w:rsidRPr="00167AF1">
        <w:rPr>
          <w:rFonts w:ascii="Arial" w:hAnsi="Arial" w:cs="Arial"/>
        </w:rPr>
        <w:t>Les livraisons sont réalisées par le titulaire dans les conditions fixées dans les pièces énumérées ci-dessus et selon les conditions définies ci-après et dans les conditions générales.</w:t>
      </w:r>
    </w:p>
    <w:p w:rsidR="00A615E5" w:rsidRPr="00167AF1" w:rsidRDefault="00A615E5">
      <w:pPr>
        <w:pStyle w:val="Heading2"/>
        <w:rPr>
          <w:rFonts w:ascii="Arial" w:hAnsi="Arial" w:cs="Arial"/>
        </w:rPr>
      </w:pPr>
      <w:bookmarkStart w:id="9" w:name="__RefHeading___Toc195769666"/>
      <w:r w:rsidRPr="00167AF1">
        <w:rPr>
          <w:rFonts w:ascii="Arial" w:hAnsi="Arial" w:cs="Arial"/>
        </w:rPr>
        <w:t>Début de marché</w:t>
      </w:r>
      <w:bookmarkEnd w:id="9"/>
    </w:p>
    <w:p w:rsidR="00A615E5" w:rsidRPr="00167AF1" w:rsidRDefault="00A615E5">
      <w:pPr>
        <w:ind w:left="720"/>
        <w:jc w:val="both"/>
        <w:rPr>
          <w:rFonts w:ascii="Arial" w:hAnsi="Arial" w:cs="Arial"/>
        </w:rPr>
      </w:pPr>
      <w:r w:rsidRPr="00167AF1">
        <w:rPr>
          <w:rFonts w:ascii="Arial" w:hAnsi="Arial" w:cs="Arial"/>
        </w:rPr>
        <w:t xml:space="preserve">A compter de la date de notification du présent marché </w:t>
      </w:r>
    </w:p>
    <w:p w:rsidR="00A615E5" w:rsidRPr="00167AF1" w:rsidRDefault="00A615E5">
      <w:pPr>
        <w:pStyle w:val="Heading2"/>
        <w:rPr>
          <w:rFonts w:ascii="Arial" w:hAnsi="Arial" w:cs="Arial"/>
        </w:rPr>
      </w:pPr>
      <w:bookmarkStart w:id="10" w:name="__RefHeading___Toc195769667"/>
      <w:bookmarkEnd w:id="10"/>
      <w:r w:rsidRPr="00167AF1">
        <w:rPr>
          <w:rFonts w:ascii="Arial" w:hAnsi="Arial" w:cs="Arial"/>
        </w:rPr>
        <w:t>Durée du marché</w:t>
      </w:r>
    </w:p>
    <w:p w:rsidR="00A615E5" w:rsidRDefault="00A615E5">
      <w:pPr>
        <w:pStyle w:val="Default"/>
        <w:rPr>
          <w:rFonts w:ascii="Arial" w:hAnsi="Arial" w:cs="Arial"/>
        </w:rPr>
      </w:pPr>
      <w:r w:rsidRPr="00167AF1">
        <w:rPr>
          <w:rFonts w:ascii="Arial" w:hAnsi="Arial" w:cs="Arial"/>
        </w:rPr>
        <w:t xml:space="preserve">La durée du marché est fixée à </w:t>
      </w:r>
      <w:r w:rsidRPr="00167AF1">
        <w:rPr>
          <w:rFonts w:ascii="Arial" w:hAnsi="Arial" w:cs="Arial"/>
          <w:b/>
          <w:bCs/>
        </w:rPr>
        <w:t>trois ans</w:t>
      </w:r>
      <w:r w:rsidRPr="00167AF1">
        <w:rPr>
          <w:rFonts w:ascii="Arial" w:hAnsi="Arial" w:cs="Arial"/>
        </w:rPr>
        <w:t xml:space="preserve"> à compter de la notification. </w:t>
      </w:r>
    </w:p>
    <w:p w:rsidR="00A615E5" w:rsidRPr="00167AF1" w:rsidRDefault="00A615E5">
      <w:pPr>
        <w:pStyle w:val="Heading1"/>
        <w:rPr>
          <w:rFonts w:ascii="Arial" w:hAnsi="Arial" w:cs="Arial"/>
        </w:rPr>
      </w:pPr>
      <w:bookmarkStart w:id="11" w:name="__RefHeading___Toc195769668"/>
      <w:r w:rsidRPr="00167AF1">
        <w:rPr>
          <w:rFonts w:ascii="Arial" w:hAnsi="Arial" w:cs="Arial"/>
        </w:rPr>
        <w:t>Montant du Marché public à procédure adaptée (MAPA)</w:t>
      </w:r>
      <w:bookmarkEnd w:id="11"/>
    </w:p>
    <w:p w:rsidR="00A615E5" w:rsidRPr="00167AF1" w:rsidRDefault="00A615E5">
      <w:pPr>
        <w:tabs>
          <w:tab w:val="left" w:pos="1985"/>
        </w:tabs>
        <w:rPr>
          <w:rFonts w:ascii="Arial" w:hAnsi="Arial" w:cs="Arial"/>
        </w:rPr>
      </w:pPr>
    </w:p>
    <w:p w:rsidR="00A615E5" w:rsidRPr="00167AF1" w:rsidRDefault="00A615E5">
      <w:pPr>
        <w:tabs>
          <w:tab w:val="left" w:pos="1985"/>
        </w:tabs>
        <w:jc w:val="both"/>
        <w:rPr>
          <w:rFonts w:ascii="Arial" w:hAnsi="Arial" w:cs="Arial"/>
          <w:kern w:val="1"/>
        </w:rPr>
      </w:pPr>
      <w:r w:rsidRPr="00167AF1">
        <w:rPr>
          <w:rFonts w:ascii="Arial" w:hAnsi="Arial" w:cs="Arial"/>
        </w:rPr>
        <w:t>Le Marché public à procédure adaptée (MAPA) est conclu sans minimum mais avec un montant  maximum prévisionnel, sur la durée totale, reconduction comprise, qui ne saurait dépasser 89 999 € HT</w:t>
      </w:r>
      <w:r w:rsidRPr="00167AF1">
        <w:rPr>
          <w:rFonts w:ascii="Arial" w:hAnsi="Arial" w:cs="Arial"/>
          <w:kern w:val="1"/>
        </w:rPr>
        <w:t>.</w:t>
      </w:r>
    </w:p>
    <w:p w:rsidR="00A615E5" w:rsidRPr="00167AF1" w:rsidRDefault="00A615E5">
      <w:pPr>
        <w:pStyle w:val="Header"/>
        <w:tabs>
          <w:tab w:val="clear" w:pos="4536"/>
          <w:tab w:val="clear" w:pos="9072"/>
          <w:tab w:val="left" w:pos="1985"/>
        </w:tabs>
        <w:jc w:val="both"/>
        <w:rPr>
          <w:rFonts w:ascii="Arial" w:hAnsi="Arial" w:cs="Arial"/>
          <w:kern w:val="1"/>
        </w:rPr>
      </w:pPr>
    </w:p>
    <w:p w:rsidR="00A615E5" w:rsidRPr="00167AF1" w:rsidRDefault="00A615E5">
      <w:pPr>
        <w:tabs>
          <w:tab w:val="left" w:pos="1985"/>
        </w:tabs>
        <w:rPr>
          <w:rFonts w:ascii="Arial" w:hAnsi="Arial" w:cs="Arial"/>
        </w:rPr>
      </w:pPr>
    </w:p>
    <w:p w:rsidR="00A615E5" w:rsidRPr="00167AF1" w:rsidRDefault="00A615E5">
      <w:pPr>
        <w:pStyle w:val="Heading1"/>
        <w:rPr>
          <w:rFonts w:ascii="Arial" w:hAnsi="Arial" w:cs="Arial"/>
        </w:rPr>
      </w:pPr>
      <w:bookmarkStart w:id="12" w:name="__RefHeading___Toc195769669"/>
      <w:bookmarkEnd w:id="12"/>
      <w:r w:rsidRPr="00167AF1">
        <w:rPr>
          <w:rFonts w:ascii="Arial" w:hAnsi="Arial" w:cs="Arial"/>
        </w:rPr>
        <w:t>Prix</w:t>
      </w:r>
    </w:p>
    <w:p w:rsidR="00A615E5" w:rsidRPr="00167AF1" w:rsidRDefault="00A615E5">
      <w:pPr>
        <w:spacing w:before="120" w:after="120"/>
        <w:jc w:val="both"/>
        <w:rPr>
          <w:rFonts w:ascii="Arial" w:hAnsi="Arial" w:cs="Arial"/>
        </w:rPr>
      </w:pPr>
    </w:p>
    <w:p w:rsidR="00A615E5" w:rsidRPr="00167AF1" w:rsidRDefault="00A615E5">
      <w:pPr>
        <w:spacing w:before="120" w:after="120"/>
        <w:jc w:val="both"/>
        <w:rPr>
          <w:rFonts w:ascii="Arial" w:hAnsi="Arial" w:cs="Arial"/>
        </w:rPr>
      </w:pPr>
      <w:r w:rsidRPr="00167AF1">
        <w:rPr>
          <w:rFonts w:ascii="Arial" w:hAnsi="Arial" w:cs="Arial"/>
        </w:rPr>
        <w:t>Les prix sont définis par le titulaire sur demande de devis par l’établissement pour chaque demande spécifique</w:t>
      </w:r>
    </w:p>
    <w:p w:rsidR="00A615E5" w:rsidRPr="00167AF1" w:rsidRDefault="00A615E5">
      <w:pPr>
        <w:pStyle w:val="Heading2"/>
        <w:rPr>
          <w:rFonts w:ascii="Arial" w:hAnsi="Arial" w:cs="Arial"/>
        </w:rPr>
      </w:pPr>
      <w:bookmarkStart w:id="13" w:name="__RefHeading___Toc195769670"/>
      <w:r w:rsidRPr="00167AF1">
        <w:rPr>
          <w:rFonts w:ascii="Arial" w:hAnsi="Arial" w:cs="Arial"/>
        </w:rPr>
        <w:t>Prix des marchés</w:t>
      </w:r>
      <w:bookmarkEnd w:id="13"/>
    </w:p>
    <w:p w:rsidR="00A615E5" w:rsidRPr="00167AF1" w:rsidRDefault="00A615E5">
      <w:pPr>
        <w:pStyle w:val="Default"/>
        <w:jc w:val="both"/>
        <w:rPr>
          <w:rFonts w:ascii="Arial" w:hAnsi="Arial" w:cs="Arial"/>
        </w:rPr>
      </w:pPr>
      <w:r w:rsidRPr="00167AF1">
        <w:rPr>
          <w:rFonts w:ascii="Arial" w:hAnsi="Arial" w:cs="Arial"/>
        </w:rPr>
        <w:t>Les prix pratiqués dans le marché sont fermes.</w:t>
      </w:r>
    </w:p>
    <w:p w:rsidR="00A615E5" w:rsidRPr="00167AF1" w:rsidRDefault="00A615E5">
      <w:pPr>
        <w:pStyle w:val="Default"/>
        <w:jc w:val="both"/>
        <w:rPr>
          <w:rFonts w:ascii="Arial" w:hAnsi="Arial" w:cs="Arial"/>
        </w:rPr>
      </w:pPr>
      <w:r w:rsidRPr="00167AF1">
        <w:rPr>
          <w:rFonts w:ascii="Arial" w:hAnsi="Arial" w:cs="Arial"/>
        </w:rPr>
        <w:t>Les bons de commande conclus sur la base du présent marchéseront traités à prix unitaires appliqués aux prestations réellement exécutées et dont le libellé est détaillé au CCTP- Article 2 joint aux marchés passés sur la base du Marché public à procédure adaptée (MAPA).</w:t>
      </w:r>
    </w:p>
    <w:p w:rsidR="00A615E5" w:rsidRPr="00167AF1" w:rsidRDefault="00A615E5">
      <w:pPr>
        <w:pStyle w:val="Default"/>
        <w:jc w:val="both"/>
        <w:rPr>
          <w:rFonts w:ascii="Arial" w:hAnsi="Arial" w:cs="Arial"/>
        </w:rPr>
      </w:pPr>
    </w:p>
    <w:p w:rsidR="00A615E5" w:rsidRPr="00167AF1" w:rsidRDefault="00A615E5">
      <w:pPr>
        <w:pStyle w:val="Heading2"/>
        <w:rPr>
          <w:rFonts w:ascii="Arial" w:hAnsi="Arial" w:cs="Arial"/>
        </w:rPr>
      </w:pPr>
      <w:bookmarkStart w:id="14" w:name="__RefHeading___Toc195769671"/>
      <w:r w:rsidRPr="00167AF1">
        <w:rPr>
          <w:rFonts w:ascii="Arial" w:hAnsi="Arial" w:cs="Arial"/>
        </w:rPr>
        <w:t>Contenu des prix</w:t>
      </w:r>
      <w:bookmarkEnd w:id="14"/>
    </w:p>
    <w:p w:rsidR="00A615E5" w:rsidRPr="00167AF1" w:rsidRDefault="00A615E5">
      <w:pPr>
        <w:pStyle w:val="Default"/>
        <w:jc w:val="both"/>
        <w:rPr>
          <w:rFonts w:ascii="Arial" w:hAnsi="Arial" w:cs="Arial"/>
        </w:rPr>
      </w:pPr>
      <w:r w:rsidRPr="00167AF1">
        <w:rPr>
          <w:rFonts w:ascii="Arial" w:hAnsi="Arial" w:cs="Arial"/>
        </w:rPr>
        <w:t xml:space="preserve">Les prix sont réputés comprendre toutes les dépenses résultant de l'exécution des prestations, incluant tous les frais, charges, fournitures, matériels et sujétions du titulaire. </w:t>
      </w:r>
    </w:p>
    <w:p w:rsidR="00A615E5" w:rsidRPr="00167AF1" w:rsidRDefault="00A615E5">
      <w:pPr>
        <w:pStyle w:val="Default"/>
        <w:jc w:val="both"/>
        <w:rPr>
          <w:rFonts w:ascii="Arial" w:hAnsi="Arial" w:cs="Arial"/>
        </w:rPr>
      </w:pPr>
    </w:p>
    <w:p w:rsidR="00A615E5" w:rsidRPr="00167AF1" w:rsidRDefault="00A615E5">
      <w:pPr>
        <w:pStyle w:val="Default"/>
        <w:jc w:val="both"/>
        <w:rPr>
          <w:rFonts w:ascii="Arial" w:hAnsi="Arial" w:cs="Arial"/>
        </w:rPr>
      </w:pPr>
    </w:p>
    <w:p w:rsidR="00A615E5" w:rsidRPr="00167AF1" w:rsidRDefault="00A615E5">
      <w:pPr>
        <w:pStyle w:val="Heading1"/>
        <w:rPr>
          <w:rFonts w:ascii="Arial" w:hAnsi="Arial" w:cs="Arial"/>
        </w:rPr>
      </w:pPr>
      <w:bookmarkStart w:id="15" w:name="__RefHeading___Toc195769672"/>
      <w:bookmarkEnd w:id="15"/>
      <w:r w:rsidRPr="00167AF1">
        <w:rPr>
          <w:rFonts w:ascii="Arial" w:hAnsi="Arial" w:cs="Arial"/>
        </w:rPr>
        <w:t>Paiement</w:t>
      </w:r>
    </w:p>
    <w:p w:rsidR="00A615E5" w:rsidRPr="00167AF1" w:rsidRDefault="00A615E5">
      <w:pPr>
        <w:pStyle w:val="Heading2"/>
        <w:rPr>
          <w:rFonts w:ascii="Arial" w:hAnsi="Arial" w:cs="Arial"/>
        </w:rPr>
      </w:pPr>
      <w:bookmarkStart w:id="16" w:name="__RefHeading___Toc195769673"/>
      <w:bookmarkEnd w:id="16"/>
      <w:r w:rsidRPr="00167AF1">
        <w:rPr>
          <w:rFonts w:ascii="Arial" w:hAnsi="Arial" w:cs="Arial"/>
        </w:rPr>
        <w:t>Facturation</w:t>
      </w:r>
    </w:p>
    <w:p w:rsidR="00A615E5" w:rsidRPr="00167AF1" w:rsidRDefault="00A615E5">
      <w:pPr>
        <w:rPr>
          <w:rFonts w:ascii="Arial" w:hAnsi="Arial" w:cs="Arial"/>
        </w:rPr>
      </w:pPr>
      <w:r w:rsidRPr="00167AF1">
        <w:rPr>
          <w:rFonts w:ascii="Arial" w:hAnsi="Arial" w:cs="Arial"/>
        </w:rPr>
        <w:t>Outre les mentions légales, la facture est transmise via le portail Chorus Pro (</w:t>
      </w:r>
      <w:hyperlink r:id="rId9" w:history="1">
        <w:r w:rsidRPr="00167AF1">
          <w:rPr>
            <w:rStyle w:val="Hyperlink"/>
            <w:rFonts w:ascii="Arial" w:hAnsi="Arial" w:cs="Arial"/>
            <w:color w:val="0073AE"/>
            <w:sz w:val="24"/>
            <w:szCs w:val="24"/>
          </w:rPr>
          <w:t>https://chorus-pro.gouv.fr</w:t>
        </w:r>
      </w:hyperlink>
      <w:r w:rsidRPr="00167AF1">
        <w:rPr>
          <w:rFonts w:ascii="Arial" w:hAnsi="Arial" w:cs="Arial"/>
          <w:color w:val="0073AE"/>
          <w:sz w:val="24"/>
          <w:szCs w:val="24"/>
        </w:rPr>
        <w:t xml:space="preserve">) </w:t>
      </w:r>
      <w:r w:rsidRPr="00167AF1">
        <w:rPr>
          <w:rFonts w:ascii="Arial" w:hAnsi="Arial" w:cs="Arial"/>
        </w:rPr>
        <w:t>et devra comporter les mentions suivantes :</w:t>
      </w:r>
    </w:p>
    <w:p w:rsidR="00A615E5" w:rsidRPr="00167AF1" w:rsidRDefault="00A615E5">
      <w:pPr>
        <w:numPr>
          <w:ilvl w:val="0"/>
          <w:numId w:val="6"/>
        </w:numPr>
        <w:rPr>
          <w:rFonts w:ascii="Arial" w:hAnsi="Arial" w:cs="Arial"/>
        </w:rPr>
      </w:pPr>
      <w:r w:rsidRPr="00167AF1">
        <w:rPr>
          <w:rFonts w:ascii="Arial" w:hAnsi="Arial" w:cs="Arial"/>
        </w:rPr>
        <w:t>La mention « facture »,</w:t>
      </w:r>
    </w:p>
    <w:p w:rsidR="00A615E5" w:rsidRPr="00167AF1" w:rsidRDefault="00A615E5">
      <w:pPr>
        <w:numPr>
          <w:ilvl w:val="0"/>
          <w:numId w:val="6"/>
        </w:numPr>
        <w:rPr>
          <w:rFonts w:ascii="Arial" w:hAnsi="Arial" w:cs="Arial"/>
          <w:b/>
          <w:bCs/>
        </w:rPr>
      </w:pPr>
      <w:r w:rsidRPr="00167AF1">
        <w:rPr>
          <w:rFonts w:ascii="Arial" w:hAnsi="Arial" w:cs="Arial"/>
        </w:rPr>
        <w:t xml:space="preserve">Le numéro du </w:t>
      </w:r>
      <w:r w:rsidRPr="00167AF1">
        <w:rPr>
          <w:rFonts w:ascii="Arial" w:hAnsi="Arial" w:cs="Arial"/>
          <w:b/>
          <w:bCs/>
        </w:rPr>
        <w:t xml:space="preserve">bon de commande et </w:t>
      </w:r>
      <w:r w:rsidRPr="00167AF1">
        <w:rPr>
          <w:rFonts w:ascii="Arial" w:hAnsi="Arial" w:cs="Arial"/>
        </w:rPr>
        <w:t xml:space="preserve">du Marché public à procédure adaptée (MAPA) indiqué sur la page de garde du présent cahier des clauses administratives particulières ; </w:t>
      </w:r>
    </w:p>
    <w:p w:rsidR="00A615E5" w:rsidRPr="00167AF1" w:rsidRDefault="00A615E5">
      <w:pPr>
        <w:numPr>
          <w:ilvl w:val="0"/>
          <w:numId w:val="6"/>
        </w:numPr>
        <w:rPr>
          <w:rFonts w:ascii="Arial" w:hAnsi="Arial" w:cs="Arial"/>
        </w:rPr>
      </w:pPr>
      <w:r w:rsidRPr="00167AF1">
        <w:rPr>
          <w:rFonts w:ascii="Arial" w:hAnsi="Arial" w:cs="Arial"/>
          <w:b/>
          <w:bCs/>
        </w:rPr>
        <w:t xml:space="preserve">L’affectation du SERVICE DES EDITIONS de l’ENSAPLV indiquée sur le bon de commande </w:t>
      </w:r>
    </w:p>
    <w:p w:rsidR="00A615E5" w:rsidRPr="00167AF1" w:rsidRDefault="00A615E5">
      <w:pPr>
        <w:numPr>
          <w:ilvl w:val="0"/>
          <w:numId w:val="6"/>
        </w:numPr>
        <w:rPr>
          <w:rFonts w:ascii="Arial" w:hAnsi="Arial" w:cs="Arial"/>
        </w:rPr>
      </w:pPr>
      <w:r w:rsidRPr="00167AF1">
        <w:rPr>
          <w:rFonts w:ascii="Arial" w:hAnsi="Arial" w:cs="Arial"/>
        </w:rPr>
        <w:t>La référence du bon de livraison et la date de livraison</w:t>
      </w:r>
    </w:p>
    <w:p w:rsidR="00A615E5" w:rsidRPr="00167AF1" w:rsidRDefault="00A615E5">
      <w:pPr>
        <w:numPr>
          <w:ilvl w:val="0"/>
          <w:numId w:val="6"/>
        </w:numPr>
        <w:rPr>
          <w:rFonts w:ascii="Arial" w:hAnsi="Arial" w:cs="Arial"/>
        </w:rPr>
      </w:pPr>
      <w:r w:rsidRPr="00167AF1">
        <w:rPr>
          <w:rFonts w:ascii="Arial" w:hAnsi="Arial" w:cs="Arial"/>
        </w:rPr>
        <w:t xml:space="preserve">la date et la référence du ou des bons de commande correspondants, </w:t>
      </w:r>
    </w:p>
    <w:p w:rsidR="00A615E5" w:rsidRPr="00167AF1" w:rsidRDefault="00A615E5">
      <w:pPr>
        <w:numPr>
          <w:ilvl w:val="0"/>
          <w:numId w:val="6"/>
        </w:numPr>
        <w:rPr>
          <w:rFonts w:ascii="Arial" w:hAnsi="Arial" w:cs="Arial"/>
        </w:rPr>
      </w:pPr>
      <w:r w:rsidRPr="00167AF1">
        <w:rPr>
          <w:rFonts w:ascii="Arial" w:hAnsi="Arial" w:cs="Arial"/>
        </w:rPr>
        <w:t xml:space="preserve">la description des prestations exécutées et livrées ; </w:t>
      </w:r>
    </w:p>
    <w:p w:rsidR="00A615E5" w:rsidRPr="00167AF1" w:rsidRDefault="00A615E5">
      <w:pPr>
        <w:numPr>
          <w:ilvl w:val="0"/>
          <w:numId w:val="6"/>
        </w:numPr>
        <w:rPr>
          <w:rFonts w:ascii="Arial" w:hAnsi="Arial" w:cs="Arial"/>
        </w:rPr>
      </w:pPr>
      <w:r w:rsidRPr="00167AF1">
        <w:rPr>
          <w:rFonts w:ascii="Arial" w:hAnsi="Arial" w:cs="Arial"/>
        </w:rPr>
        <w:t xml:space="preserve">le montant H.T. et T.T.C. des prestations exécutées ; </w:t>
      </w:r>
    </w:p>
    <w:p w:rsidR="00A615E5" w:rsidRPr="00167AF1" w:rsidRDefault="00A615E5">
      <w:pPr>
        <w:numPr>
          <w:ilvl w:val="0"/>
          <w:numId w:val="6"/>
        </w:numPr>
        <w:rPr>
          <w:rFonts w:ascii="Arial" w:hAnsi="Arial" w:cs="Arial"/>
        </w:rPr>
      </w:pPr>
      <w:r w:rsidRPr="00167AF1">
        <w:rPr>
          <w:rFonts w:ascii="Arial" w:hAnsi="Arial" w:cs="Arial"/>
        </w:rPr>
        <w:t>le taux et le montant de la T.V.A.</w:t>
      </w:r>
    </w:p>
    <w:p w:rsidR="00A615E5" w:rsidRPr="00167AF1" w:rsidRDefault="00A615E5">
      <w:pPr>
        <w:rPr>
          <w:rFonts w:ascii="Arial" w:hAnsi="Arial" w:cs="Arial"/>
        </w:rPr>
      </w:pPr>
    </w:p>
    <w:p w:rsidR="00A615E5" w:rsidRPr="00167AF1" w:rsidRDefault="00A615E5">
      <w:pPr>
        <w:rPr>
          <w:rFonts w:ascii="Arial" w:hAnsi="Arial" w:cs="Arial"/>
        </w:rPr>
      </w:pPr>
      <w:r w:rsidRPr="00167AF1">
        <w:rPr>
          <w:rFonts w:ascii="Arial" w:hAnsi="Arial" w:cs="Arial"/>
        </w:rPr>
        <w:t xml:space="preserve">Les factures sont adressées à la  personne publique contractante à l’adresse suivante : </w:t>
      </w:r>
    </w:p>
    <w:p w:rsidR="00A615E5" w:rsidRPr="00167AF1" w:rsidRDefault="00A615E5">
      <w:pPr>
        <w:rPr>
          <w:rFonts w:ascii="Arial" w:hAnsi="Arial" w:cs="Arial"/>
        </w:rPr>
      </w:pPr>
    </w:p>
    <w:p w:rsidR="00A615E5" w:rsidRPr="00167AF1" w:rsidRDefault="00A615E5">
      <w:pPr>
        <w:pStyle w:val="Header"/>
        <w:tabs>
          <w:tab w:val="clear" w:pos="4536"/>
          <w:tab w:val="clear" w:pos="9072"/>
        </w:tabs>
        <w:spacing w:line="240" w:lineRule="exact"/>
        <w:rPr>
          <w:rFonts w:ascii="Arial" w:hAnsi="Arial" w:cs="Arial"/>
          <w:kern w:val="1"/>
        </w:rPr>
      </w:pPr>
      <w:r w:rsidRPr="00167AF1">
        <w:rPr>
          <w:rFonts w:ascii="Arial" w:hAnsi="Arial" w:cs="Arial"/>
          <w:kern w:val="1"/>
        </w:rPr>
        <w:t xml:space="preserve">ENSA Paris la Villette </w:t>
      </w:r>
    </w:p>
    <w:p w:rsidR="00A615E5" w:rsidRPr="00167AF1" w:rsidRDefault="00A615E5">
      <w:pPr>
        <w:pStyle w:val="Header"/>
        <w:tabs>
          <w:tab w:val="clear" w:pos="4536"/>
          <w:tab w:val="clear" w:pos="9072"/>
        </w:tabs>
        <w:spacing w:line="240" w:lineRule="exact"/>
        <w:rPr>
          <w:rFonts w:ascii="Arial" w:hAnsi="Arial" w:cs="Arial"/>
          <w:kern w:val="1"/>
        </w:rPr>
      </w:pPr>
      <w:r w:rsidRPr="00167AF1">
        <w:rPr>
          <w:rFonts w:ascii="Arial" w:hAnsi="Arial" w:cs="Arial"/>
          <w:kern w:val="1"/>
        </w:rPr>
        <w:t>Service Financier</w:t>
      </w:r>
    </w:p>
    <w:p w:rsidR="00A615E5" w:rsidRPr="00167AF1" w:rsidRDefault="00A615E5">
      <w:pPr>
        <w:pStyle w:val="Header"/>
        <w:tabs>
          <w:tab w:val="clear" w:pos="4536"/>
          <w:tab w:val="clear" w:pos="9072"/>
        </w:tabs>
        <w:spacing w:line="240" w:lineRule="exact"/>
        <w:rPr>
          <w:rFonts w:ascii="Arial" w:hAnsi="Arial" w:cs="Arial"/>
        </w:rPr>
      </w:pPr>
      <w:r w:rsidRPr="00167AF1">
        <w:rPr>
          <w:rFonts w:ascii="Arial" w:hAnsi="Arial" w:cs="Arial"/>
          <w:kern w:val="1"/>
        </w:rPr>
        <w:t xml:space="preserve">144 av de Flandre </w:t>
      </w:r>
    </w:p>
    <w:p w:rsidR="00A615E5" w:rsidRPr="00167AF1" w:rsidRDefault="00A615E5">
      <w:pPr>
        <w:spacing w:line="240" w:lineRule="exact"/>
        <w:rPr>
          <w:rFonts w:ascii="Arial" w:hAnsi="Arial" w:cs="Arial"/>
        </w:rPr>
      </w:pPr>
      <w:r w:rsidRPr="00167AF1">
        <w:rPr>
          <w:rFonts w:ascii="Arial" w:hAnsi="Arial" w:cs="Arial"/>
        </w:rPr>
        <w:t xml:space="preserve">75019 Paris </w:t>
      </w:r>
    </w:p>
    <w:p w:rsidR="00A615E5" w:rsidRPr="00167AF1" w:rsidRDefault="00A615E5">
      <w:pPr>
        <w:spacing w:line="240" w:lineRule="exact"/>
        <w:rPr>
          <w:rFonts w:ascii="Arial" w:hAnsi="Arial" w:cs="Arial"/>
        </w:rPr>
      </w:pPr>
    </w:p>
    <w:p w:rsidR="00A615E5" w:rsidRPr="00167AF1" w:rsidRDefault="00A615E5">
      <w:pPr>
        <w:spacing w:line="240" w:lineRule="exact"/>
        <w:rPr>
          <w:rFonts w:ascii="Arial" w:hAnsi="Arial" w:cs="Arial"/>
        </w:rPr>
      </w:pPr>
      <w:r w:rsidRPr="00167AF1">
        <w:rPr>
          <w:rFonts w:ascii="Arial" w:hAnsi="Arial" w:cs="Arial"/>
        </w:rPr>
        <w:t>Les factures sont établies service fait</w:t>
      </w:r>
    </w:p>
    <w:p w:rsidR="00A615E5" w:rsidRPr="00167AF1" w:rsidRDefault="00A615E5">
      <w:pPr>
        <w:tabs>
          <w:tab w:val="left" w:pos="3720"/>
        </w:tabs>
        <w:spacing w:line="240" w:lineRule="exact"/>
        <w:ind w:left="360"/>
        <w:jc w:val="both"/>
        <w:rPr>
          <w:rFonts w:ascii="Arial" w:hAnsi="Arial" w:cs="Arial"/>
        </w:rPr>
      </w:pPr>
    </w:p>
    <w:p w:rsidR="00A615E5" w:rsidRPr="00167AF1" w:rsidRDefault="00A615E5">
      <w:pPr>
        <w:pStyle w:val="Heading2"/>
        <w:rPr>
          <w:rFonts w:ascii="Arial" w:hAnsi="Arial" w:cs="Arial"/>
        </w:rPr>
      </w:pPr>
      <w:bookmarkStart w:id="17" w:name="__RefHeading___Toc195769674"/>
      <w:r w:rsidRPr="00167AF1">
        <w:rPr>
          <w:rFonts w:ascii="Arial" w:hAnsi="Arial" w:cs="Arial"/>
        </w:rPr>
        <w:t>Paiement</w:t>
      </w:r>
      <w:bookmarkEnd w:id="17"/>
    </w:p>
    <w:p w:rsidR="00A615E5" w:rsidRPr="00167AF1" w:rsidRDefault="00A615E5">
      <w:pPr>
        <w:ind w:right="141"/>
        <w:jc w:val="both"/>
        <w:rPr>
          <w:rFonts w:ascii="Arial" w:hAnsi="Arial" w:cs="Arial"/>
        </w:rPr>
      </w:pPr>
      <w:r w:rsidRPr="00167AF1">
        <w:rPr>
          <w:rFonts w:ascii="Arial" w:hAnsi="Arial" w:cs="Arial"/>
        </w:rPr>
        <w:t>Les paiements sont assurés après réception de la facture comme défini précédemment</w:t>
      </w:r>
    </w:p>
    <w:p w:rsidR="00A615E5" w:rsidRPr="00167AF1" w:rsidRDefault="00A615E5">
      <w:pPr>
        <w:ind w:right="141"/>
        <w:jc w:val="both"/>
        <w:rPr>
          <w:rFonts w:ascii="Arial" w:hAnsi="Arial" w:cs="Arial"/>
        </w:rPr>
      </w:pPr>
    </w:p>
    <w:p w:rsidR="00A615E5" w:rsidRPr="00167AF1" w:rsidRDefault="00A615E5">
      <w:pPr>
        <w:pStyle w:val="Default"/>
        <w:rPr>
          <w:rFonts w:ascii="Arial" w:hAnsi="Arial" w:cs="Arial"/>
        </w:rPr>
      </w:pPr>
      <w:r w:rsidRPr="00167AF1">
        <w:rPr>
          <w:rFonts w:ascii="Arial" w:hAnsi="Arial" w:cs="Arial"/>
        </w:rPr>
        <w:t>Le délai de paiement est de 30 jours à compter de la réception de la facture   en bonne et due forme, par l'ENSAPLV. Aucune demande de paiement ne peut être transmise avant réalisation des prestations.</w:t>
      </w:r>
    </w:p>
    <w:p w:rsidR="00A615E5" w:rsidRPr="00167AF1" w:rsidRDefault="00A615E5">
      <w:pPr>
        <w:ind w:right="141"/>
        <w:jc w:val="both"/>
        <w:rPr>
          <w:rFonts w:ascii="Arial" w:hAnsi="Arial" w:cs="Arial"/>
        </w:rPr>
      </w:pPr>
    </w:p>
    <w:p w:rsidR="00A615E5" w:rsidRPr="00167AF1" w:rsidRDefault="00A615E5">
      <w:pPr>
        <w:autoSpaceDE w:val="0"/>
        <w:rPr>
          <w:rFonts w:ascii="Arial" w:hAnsi="Arial" w:cs="Arial"/>
        </w:rPr>
      </w:pPr>
      <w:r w:rsidRPr="00167AF1">
        <w:rPr>
          <w:rFonts w:ascii="Arial" w:hAnsi="Arial" w:cs="Arial"/>
          <w:b/>
          <w:bCs/>
        </w:rPr>
        <w:t>Il ne peut pas y avoir de facturation partielle, un bon de commande donne lieu, au plus, à une facture.</w:t>
      </w:r>
    </w:p>
    <w:p w:rsidR="00A615E5" w:rsidRPr="00167AF1" w:rsidRDefault="00A615E5">
      <w:pPr>
        <w:ind w:right="141"/>
        <w:jc w:val="both"/>
        <w:rPr>
          <w:rFonts w:ascii="Arial" w:hAnsi="Arial" w:cs="Arial"/>
        </w:rPr>
      </w:pPr>
    </w:p>
    <w:p w:rsidR="00A615E5" w:rsidRPr="00167AF1" w:rsidRDefault="00A615E5" w:rsidP="00167AF1">
      <w:pPr>
        <w:ind w:right="141"/>
        <w:jc w:val="both"/>
        <w:rPr>
          <w:rFonts w:ascii="Arial" w:hAnsi="Arial" w:cs="Arial"/>
        </w:rPr>
      </w:pPr>
      <w:r w:rsidRPr="00167AF1">
        <w:rPr>
          <w:rFonts w:ascii="Arial" w:hAnsi="Arial" w:cs="Arial"/>
        </w:rPr>
        <w:t>Le règlement des sommes dues est effectué par virement administratif sur le compte du titulaire. En cas de modification des coordonnées bancaires du titulaire en cours d’exécution de commande, celui-ci doit impérativement, dans les plus brefs délais, notifier ce changement au service financier de L’ENSAPLV et fournir le relevé d’identité bancaire correspondant.</w:t>
      </w:r>
    </w:p>
    <w:p w:rsidR="00A615E5" w:rsidRPr="00167AF1" w:rsidRDefault="00A615E5">
      <w:pPr>
        <w:pStyle w:val="Heading2"/>
        <w:rPr>
          <w:rFonts w:ascii="Arial" w:hAnsi="Arial" w:cs="Arial"/>
        </w:rPr>
      </w:pPr>
      <w:bookmarkStart w:id="18" w:name="__RefHeading___Toc195769675"/>
      <w:r w:rsidRPr="00167AF1">
        <w:rPr>
          <w:rFonts w:ascii="Arial" w:hAnsi="Arial" w:cs="Arial"/>
        </w:rPr>
        <w:t>Avance</w:t>
      </w:r>
      <w:bookmarkEnd w:id="18"/>
    </w:p>
    <w:p w:rsidR="00A615E5" w:rsidRPr="00167AF1" w:rsidRDefault="00A615E5">
      <w:pPr>
        <w:autoSpaceDE w:val="0"/>
        <w:rPr>
          <w:rFonts w:ascii="Arial" w:hAnsi="Arial" w:cs="Arial"/>
        </w:rPr>
      </w:pPr>
      <w:r>
        <w:rPr>
          <w:rFonts w:ascii="Arial" w:hAnsi="Arial" w:cs="Arial"/>
        </w:rPr>
        <w:t>Une avance sera accordée au titulaire</w:t>
      </w:r>
      <w:r w:rsidRPr="00167AF1">
        <w:rPr>
          <w:rFonts w:ascii="Arial" w:hAnsi="Arial" w:cs="Arial"/>
        </w:rPr>
        <w:t xml:space="preserve"> des commandes conclues sur la base du Marché public à procédure adaptée (MAPA) dans les conditions prévues à l’article 110 du décret du 25/03/2016  relatif aux marchés publics, sauf renonciation expresse de sa part</w:t>
      </w:r>
    </w:p>
    <w:p w:rsidR="00A615E5" w:rsidRPr="00167AF1" w:rsidRDefault="00A615E5">
      <w:pPr>
        <w:pStyle w:val="Heading2"/>
        <w:rPr>
          <w:rFonts w:ascii="Arial" w:hAnsi="Arial" w:cs="Arial"/>
        </w:rPr>
      </w:pPr>
      <w:bookmarkStart w:id="19" w:name="__RefHeading___Toc195769676"/>
      <w:bookmarkEnd w:id="19"/>
      <w:r w:rsidRPr="00167AF1">
        <w:rPr>
          <w:rFonts w:ascii="Arial" w:hAnsi="Arial" w:cs="Arial"/>
        </w:rPr>
        <w:t>Modalités de versement de l’avance</w:t>
      </w:r>
    </w:p>
    <w:p w:rsidR="00A615E5" w:rsidRPr="00167AF1" w:rsidRDefault="00A615E5">
      <w:pPr>
        <w:pStyle w:val="NormalWeb"/>
        <w:autoSpaceDE w:val="0"/>
        <w:spacing w:before="0" w:after="0"/>
        <w:rPr>
          <w:rFonts w:ascii="Arial" w:hAnsi="Arial" w:cs="Arial"/>
          <w:color w:val="000000"/>
        </w:rPr>
      </w:pPr>
      <w:r w:rsidRPr="00167AF1">
        <w:rPr>
          <w:rFonts w:ascii="Arial" w:hAnsi="Arial" w:cs="Arial"/>
        </w:rPr>
        <w:t>Le règlement de l’avance interviendra dans les 30 jours à compter de</w:t>
      </w:r>
    </w:p>
    <w:p w:rsidR="00A615E5" w:rsidRPr="00167AF1" w:rsidRDefault="00A615E5">
      <w:pPr>
        <w:rPr>
          <w:rFonts w:ascii="Arial" w:hAnsi="Arial" w:cs="Arial"/>
        </w:rPr>
      </w:pPr>
      <w:r w:rsidRPr="00167AF1">
        <w:rPr>
          <w:rFonts w:ascii="Arial" w:hAnsi="Arial" w:cs="Arial"/>
          <w:color w:val="000000"/>
        </w:rPr>
        <w:t>la notification de chaque bon de commande supérieur ou égal à 50 000€ HT</w:t>
      </w:r>
    </w:p>
    <w:p w:rsidR="00A615E5" w:rsidRPr="00167AF1" w:rsidRDefault="00A615E5">
      <w:pPr>
        <w:pStyle w:val="Heading2"/>
        <w:rPr>
          <w:rFonts w:ascii="Arial" w:hAnsi="Arial" w:cs="Arial"/>
          <w:kern w:val="1"/>
        </w:rPr>
      </w:pPr>
      <w:bookmarkStart w:id="20" w:name="__RefHeading___Toc195769677"/>
      <w:bookmarkEnd w:id="20"/>
      <w:r w:rsidRPr="00167AF1">
        <w:rPr>
          <w:rFonts w:ascii="Arial" w:hAnsi="Arial" w:cs="Arial"/>
        </w:rPr>
        <w:t>Montant de l’avance</w:t>
      </w:r>
    </w:p>
    <w:p w:rsidR="00A615E5" w:rsidRPr="00167AF1" w:rsidRDefault="00A615E5" w:rsidP="00167AF1">
      <w:pPr>
        <w:pStyle w:val="Header"/>
        <w:tabs>
          <w:tab w:val="clear" w:pos="4536"/>
          <w:tab w:val="clear" w:pos="9072"/>
        </w:tabs>
        <w:autoSpaceDE w:val="0"/>
        <w:rPr>
          <w:rFonts w:ascii="Arial" w:hAnsi="Arial" w:cs="Arial"/>
        </w:rPr>
      </w:pPr>
      <w:r w:rsidRPr="00167AF1">
        <w:rPr>
          <w:rFonts w:ascii="Arial" w:hAnsi="Arial" w:cs="Arial"/>
          <w:kern w:val="1"/>
        </w:rPr>
        <w:t xml:space="preserve">Le montant de l’avance des marchés conclus sur la base du Marché </w:t>
      </w:r>
      <w:r w:rsidRPr="00167AF1">
        <w:rPr>
          <w:rFonts w:ascii="Arial" w:hAnsi="Arial" w:cs="Arial"/>
        </w:rPr>
        <w:t>sera déterminé comme suit :</w:t>
      </w:r>
    </w:p>
    <w:p w:rsidR="00A615E5" w:rsidRPr="00167AF1" w:rsidRDefault="00A615E5">
      <w:pPr>
        <w:pStyle w:val="Header"/>
        <w:autoSpaceDE w:val="0"/>
        <w:rPr>
          <w:rFonts w:ascii="Arial" w:hAnsi="Arial" w:cs="Arial"/>
        </w:rPr>
      </w:pPr>
      <w:r w:rsidRPr="00167AF1">
        <w:rPr>
          <w:rFonts w:ascii="Arial" w:hAnsi="Arial" w:cs="Arial"/>
          <w:kern w:val="1"/>
        </w:rPr>
        <w:t xml:space="preserve">Le montant de l’avance est égal à 30 % du montant </w:t>
      </w:r>
      <w:r w:rsidRPr="00167AF1">
        <w:rPr>
          <w:rFonts w:ascii="Arial" w:hAnsi="Arial" w:cs="Arial"/>
        </w:rPr>
        <w:t>du bon de commande.</w:t>
      </w:r>
    </w:p>
    <w:p w:rsidR="00A615E5" w:rsidRPr="00167AF1" w:rsidRDefault="00A615E5">
      <w:pPr>
        <w:keepNext/>
        <w:keepLines/>
        <w:jc w:val="both"/>
        <w:rPr>
          <w:rFonts w:ascii="Arial" w:hAnsi="Arial" w:cs="Arial"/>
        </w:rPr>
      </w:pPr>
    </w:p>
    <w:p w:rsidR="00A615E5" w:rsidRPr="00167AF1" w:rsidRDefault="00A615E5">
      <w:pPr>
        <w:keepNext/>
        <w:keepLines/>
        <w:jc w:val="both"/>
        <w:rPr>
          <w:rFonts w:ascii="Arial" w:hAnsi="Arial" w:cs="Arial"/>
        </w:rPr>
      </w:pPr>
      <w:r w:rsidRPr="00167AF1">
        <w:rPr>
          <w:rFonts w:ascii="Arial" w:hAnsi="Arial" w:cs="Arial"/>
        </w:rPr>
        <w:t>Les dispositions du présent marché prévalent sur celles qui figureraient sur les documents de réponse, lettres ou autres documents échangés entre la personne publique contractante et le titulaire préalablement à la signature du présent marché.</w:t>
      </w:r>
    </w:p>
    <w:p w:rsidR="00A615E5" w:rsidRPr="00167AF1" w:rsidRDefault="00A615E5">
      <w:pPr>
        <w:keepNext/>
        <w:keepLines/>
        <w:jc w:val="both"/>
        <w:rPr>
          <w:rFonts w:ascii="Arial" w:hAnsi="Arial" w:cs="Arial"/>
        </w:rPr>
      </w:pPr>
    </w:p>
    <w:p w:rsidR="00A615E5" w:rsidRPr="00167AF1" w:rsidRDefault="00A615E5">
      <w:pPr>
        <w:pStyle w:val="Heading2"/>
        <w:keepNext w:val="0"/>
        <w:tabs>
          <w:tab w:val="left" w:pos="576"/>
        </w:tabs>
        <w:spacing w:before="120" w:after="240"/>
        <w:rPr>
          <w:rFonts w:ascii="Arial" w:hAnsi="Arial" w:cs="Arial"/>
        </w:rPr>
      </w:pPr>
      <w:bookmarkStart w:id="21" w:name="__RefHeading___Toc195769680"/>
      <w:bookmarkEnd w:id="21"/>
      <w:r w:rsidRPr="00167AF1">
        <w:rPr>
          <w:rFonts w:ascii="Arial" w:hAnsi="Arial" w:cs="Arial"/>
        </w:rPr>
        <w:t>Nature des prestations</w:t>
      </w:r>
    </w:p>
    <w:p w:rsidR="00A615E5" w:rsidRPr="00167AF1" w:rsidRDefault="00A615E5">
      <w:pPr>
        <w:pStyle w:val="Style1"/>
        <w:rPr>
          <w:rFonts w:ascii="Arial" w:hAnsi="Arial" w:cs="Arial"/>
        </w:rPr>
      </w:pPr>
      <w:r w:rsidRPr="00167AF1">
        <w:rPr>
          <w:rFonts w:ascii="Arial" w:hAnsi="Arial" w:cs="Arial"/>
        </w:rPr>
        <w:t>La description des services, objet du présent marché, sont exécutées suivant les conditions et conformément aux prescriptions prévues au cahier des charges de la personne publique et au descriptif remis par le titulaire.</w:t>
      </w:r>
    </w:p>
    <w:p w:rsidR="00A615E5" w:rsidRPr="00167AF1" w:rsidRDefault="00A615E5">
      <w:pPr>
        <w:rPr>
          <w:rFonts w:ascii="Arial" w:hAnsi="Arial" w:cs="Arial"/>
        </w:rPr>
      </w:pPr>
    </w:p>
    <w:p w:rsidR="00A615E5" w:rsidRPr="00167AF1" w:rsidRDefault="00A615E5">
      <w:pPr>
        <w:pStyle w:val="Heading2"/>
        <w:keepNext w:val="0"/>
        <w:tabs>
          <w:tab w:val="left" w:pos="576"/>
        </w:tabs>
        <w:spacing w:before="120" w:after="240"/>
        <w:rPr>
          <w:rFonts w:ascii="Arial" w:hAnsi="Arial" w:cs="Arial"/>
        </w:rPr>
      </w:pPr>
      <w:bookmarkStart w:id="22" w:name="__RefHeading___Toc195769681"/>
      <w:bookmarkEnd w:id="22"/>
      <w:r w:rsidRPr="00167AF1">
        <w:rPr>
          <w:rFonts w:ascii="Arial" w:hAnsi="Arial" w:cs="Arial"/>
        </w:rPr>
        <w:t>Livraison</w:t>
      </w:r>
    </w:p>
    <w:p w:rsidR="00A615E5" w:rsidRPr="00167AF1" w:rsidRDefault="00A615E5">
      <w:pPr>
        <w:pStyle w:val="BodyText"/>
        <w:spacing w:after="120"/>
        <w:jc w:val="left"/>
        <w:rPr>
          <w:rFonts w:ascii="Arial" w:hAnsi="Arial" w:cs="Arial"/>
        </w:rPr>
      </w:pPr>
      <w:r w:rsidRPr="00167AF1">
        <w:rPr>
          <w:rFonts w:ascii="Arial" w:hAnsi="Arial" w:cs="Arial"/>
        </w:rPr>
        <w:t>Chaque livraison devra faire l’objet d’un bon de livraison signé par la personne qui réceptionne le ou les colis.</w:t>
      </w:r>
    </w:p>
    <w:p w:rsidR="00A615E5" w:rsidRPr="00167AF1" w:rsidRDefault="00A615E5">
      <w:pPr>
        <w:pStyle w:val="BodyText"/>
        <w:spacing w:after="120"/>
        <w:jc w:val="left"/>
        <w:rPr>
          <w:rFonts w:ascii="Arial" w:hAnsi="Arial" w:cs="Arial"/>
          <w:b/>
          <w:bCs/>
        </w:rPr>
      </w:pPr>
      <w:r w:rsidRPr="00167AF1">
        <w:rPr>
          <w:rFonts w:ascii="Arial" w:hAnsi="Arial" w:cs="Arial"/>
        </w:rPr>
        <w:t>Son nom et son titre devront être apposés et lisibles</w:t>
      </w:r>
      <w:r w:rsidRPr="00167AF1">
        <w:rPr>
          <w:rFonts w:ascii="Arial" w:hAnsi="Arial" w:cs="Arial"/>
          <w:b/>
          <w:bCs/>
        </w:rPr>
        <w:t>.</w:t>
      </w:r>
    </w:p>
    <w:p w:rsidR="00A615E5" w:rsidRPr="00167AF1" w:rsidRDefault="00A615E5">
      <w:pPr>
        <w:ind w:left="1416"/>
        <w:rPr>
          <w:rFonts w:ascii="Arial" w:hAnsi="Arial" w:cs="Arial"/>
        </w:rPr>
      </w:pPr>
      <w:r w:rsidRPr="00167AF1">
        <w:rPr>
          <w:rFonts w:ascii="Arial" w:hAnsi="Arial" w:cs="Arial"/>
          <w:b/>
          <w:bCs/>
        </w:rPr>
        <w:t>Chaque bon devra comprendre :</w:t>
      </w:r>
    </w:p>
    <w:p w:rsidR="00A615E5" w:rsidRPr="00167AF1" w:rsidRDefault="00A615E5">
      <w:pPr>
        <w:numPr>
          <w:ilvl w:val="0"/>
          <w:numId w:val="4"/>
        </w:numPr>
        <w:rPr>
          <w:rFonts w:ascii="Arial" w:hAnsi="Arial" w:cs="Arial"/>
        </w:rPr>
      </w:pPr>
      <w:r w:rsidRPr="00167AF1">
        <w:rPr>
          <w:rFonts w:ascii="Arial" w:hAnsi="Arial" w:cs="Arial"/>
        </w:rPr>
        <w:t>La mention « Bon de livraison »,</w:t>
      </w:r>
    </w:p>
    <w:p w:rsidR="00A615E5" w:rsidRPr="00167AF1" w:rsidRDefault="00A615E5">
      <w:pPr>
        <w:numPr>
          <w:ilvl w:val="0"/>
          <w:numId w:val="6"/>
        </w:numPr>
        <w:rPr>
          <w:rFonts w:ascii="Arial" w:hAnsi="Arial" w:cs="Arial"/>
          <w:b/>
          <w:bCs/>
        </w:rPr>
      </w:pPr>
      <w:r w:rsidRPr="00167AF1">
        <w:rPr>
          <w:rFonts w:ascii="Arial" w:hAnsi="Arial" w:cs="Arial"/>
        </w:rPr>
        <w:t xml:space="preserve">Le numéro </w:t>
      </w:r>
      <w:r w:rsidRPr="00167AF1">
        <w:rPr>
          <w:rFonts w:ascii="Arial" w:hAnsi="Arial" w:cs="Arial"/>
          <w:b/>
          <w:bCs/>
        </w:rPr>
        <w:t xml:space="preserve">du </w:t>
      </w:r>
      <w:r>
        <w:rPr>
          <w:rFonts w:ascii="Arial" w:hAnsi="Arial" w:cs="Arial"/>
          <w:b/>
          <w:bCs/>
        </w:rPr>
        <w:t>B</w:t>
      </w:r>
      <w:r w:rsidRPr="00167AF1">
        <w:rPr>
          <w:rFonts w:ascii="Arial" w:hAnsi="Arial" w:cs="Arial"/>
          <w:b/>
          <w:bCs/>
        </w:rPr>
        <w:t>on de commande et du Marché public à procédure adaptée (MAPA)</w:t>
      </w:r>
      <w:r w:rsidRPr="00167AF1">
        <w:rPr>
          <w:rFonts w:ascii="Arial" w:hAnsi="Arial" w:cs="Arial"/>
        </w:rPr>
        <w:t xml:space="preserve">indiqué sur la page de garde du présent cahier des clauses particulières et générales ; </w:t>
      </w:r>
    </w:p>
    <w:p w:rsidR="00A615E5" w:rsidRPr="00167AF1" w:rsidRDefault="00A615E5">
      <w:pPr>
        <w:numPr>
          <w:ilvl w:val="0"/>
          <w:numId w:val="6"/>
        </w:numPr>
        <w:rPr>
          <w:rFonts w:ascii="Arial" w:hAnsi="Arial" w:cs="Arial"/>
        </w:rPr>
      </w:pPr>
      <w:r w:rsidRPr="00167AF1">
        <w:rPr>
          <w:rFonts w:ascii="Arial" w:hAnsi="Arial" w:cs="Arial"/>
          <w:b/>
          <w:bCs/>
        </w:rPr>
        <w:t xml:space="preserve">L’affectation du SERVICE DES EDITIONS de l’ENSAPLV indiquée sur le bon de commande </w:t>
      </w:r>
    </w:p>
    <w:p w:rsidR="00A615E5" w:rsidRPr="00167AF1" w:rsidRDefault="00A615E5">
      <w:pPr>
        <w:numPr>
          <w:ilvl w:val="0"/>
          <w:numId w:val="6"/>
        </w:numPr>
        <w:rPr>
          <w:rFonts w:ascii="Arial" w:hAnsi="Arial" w:cs="Arial"/>
        </w:rPr>
      </w:pPr>
      <w:r w:rsidRPr="00167AF1">
        <w:rPr>
          <w:rFonts w:ascii="Arial" w:hAnsi="Arial" w:cs="Arial"/>
        </w:rPr>
        <w:t>La référence du bon de livraison la date de livraison</w:t>
      </w:r>
    </w:p>
    <w:p w:rsidR="00A615E5" w:rsidRPr="00167AF1" w:rsidRDefault="00A615E5">
      <w:pPr>
        <w:numPr>
          <w:ilvl w:val="0"/>
          <w:numId w:val="6"/>
        </w:numPr>
        <w:rPr>
          <w:rFonts w:ascii="Arial" w:hAnsi="Arial" w:cs="Arial"/>
        </w:rPr>
      </w:pPr>
      <w:r w:rsidRPr="00167AF1">
        <w:rPr>
          <w:rFonts w:ascii="Arial" w:hAnsi="Arial" w:cs="Arial"/>
        </w:rPr>
        <w:t xml:space="preserve">la date et la référence du ou des bons de commande correspondants, </w:t>
      </w:r>
    </w:p>
    <w:p w:rsidR="00A615E5" w:rsidRPr="00167AF1" w:rsidRDefault="00A615E5">
      <w:pPr>
        <w:numPr>
          <w:ilvl w:val="0"/>
          <w:numId w:val="6"/>
        </w:numPr>
        <w:rPr>
          <w:rFonts w:ascii="Arial" w:hAnsi="Arial" w:cs="Arial"/>
        </w:rPr>
      </w:pPr>
      <w:r w:rsidRPr="00167AF1">
        <w:rPr>
          <w:rFonts w:ascii="Arial" w:hAnsi="Arial" w:cs="Arial"/>
        </w:rPr>
        <w:t xml:space="preserve">la description des prestations exécutées et livrées ; </w:t>
      </w:r>
    </w:p>
    <w:p w:rsidR="00A615E5" w:rsidRPr="00167AF1" w:rsidRDefault="00A615E5">
      <w:pPr>
        <w:pStyle w:val="Heading3"/>
        <w:rPr>
          <w:rFonts w:ascii="Arial" w:hAnsi="Arial" w:cs="Arial"/>
        </w:rPr>
      </w:pPr>
      <w:bookmarkStart w:id="23" w:name="__RefHeading___Toc195769682"/>
      <w:bookmarkEnd w:id="23"/>
      <w:r w:rsidRPr="00167AF1">
        <w:rPr>
          <w:rFonts w:ascii="Arial" w:hAnsi="Arial" w:cs="Arial"/>
        </w:rPr>
        <w:t>Délais de base</w:t>
      </w:r>
    </w:p>
    <w:p w:rsidR="00A615E5" w:rsidRPr="00167AF1" w:rsidRDefault="00A615E5">
      <w:pPr>
        <w:rPr>
          <w:rFonts w:ascii="Arial" w:hAnsi="Arial" w:cs="Arial"/>
        </w:rPr>
      </w:pPr>
      <w:r w:rsidRPr="00167AF1">
        <w:rPr>
          <w:rFonts w:ascii="Arial" w:hAnsi="Arial" w:cs="Arial"/>
        </w:rPr>
        <w:t>Les délais d’exécution ou de livraison des prestations sont fixés à chaque bon de commande.</w:t>
      </w:r>
    </w:p>
    <w:p w:rsidR="00A615E5" w:rsidRPr="00167AF1" w:rsidRDefault="00A615E5">
      <w:pPr>
        <w:rPr>
          <w:rFonts w:ascii="Arial" w:hAnsi="Arial" w:cs="Arial"/>
        </w:rPr>
      </w:pPr>
    </w:p>
    <w:p w:rsidR="00A615E5" w:rsidRPr="00167AF1" w:rsidRDefault="00A615E5">
      <w:pPr>
        <w:pStyle w:val="Heading3"/>
        <w:rPr>
          <w:rFonts w:ascii="Arial" w:hAnsi="Arial" w:cs="Arial"/>
        </w:rPr>
      </w:pPr>
      <w:bookmarkStart w:id="24" w:name="__RefHeading___Toc195769683"/>
      <w:bookmarkEnd w:id="24"/>
      <w:r w:rsidRPr="00167AF1">
        <w:rPr>
          <w:rFonts w:ascii="Arial" w:hAnsi="Arial" w:cs="Arial"/>
        </w:rPr>
        <w:t>Délais de livraison</w:t>
      </w:r>
    </w:p>
    <w:p w:rsidR="00A615E5" w:rsidRPr="00167AF1" w:rsidRDefault="00A615E5">
      <w:pPr>
        <w:rPr>
          <w:rFonts w:ascii="Arial" w:hAnsi="Arial" w:cs="Arial"/>
        </w:rPr>
      </w:pPr>
      <w:r w:rsidRPr="00167AF1">
        <w:rPr>
          <w:rFonts w:ascii="Arial" w:hAnsi="Arial" w:cs="Arial"/>
        </w:rPr>
        <w:t xml:space="preserve">Si le titulaire ne peut respecter ses engagements de délai de livraison, il devra le faire savoir au signataire émetteur du bon de commande dès réception de celui-ci. </w:t>
      </w:r>
    </w:p>
    <w:p w:rsidR="00A615E5" w:rsidRPr="00167AF1" w:rsidRDefault="00A615E5">
      <w:pPr>
        <w:rPr>
          <w:rFonts w:ascii="Arial" w:hAnsi="Arial" w:cs="Arial"/>
        </w:rPr>
      </w:pPr>
    </w:p>
    <w:p w:rsidR="00A615E5" w:rsidRPr="00167AF1" w:rsidRDefault="00A615E5">
      <w:pPr>
        <w:pStyle w:val="Heading3"/>
        <w:rPr>
          <w:rFonts w:ascii="Arial" w:hAnsi="Arial" w:cs="Arial"/>
        </w:rPr>
      </w:pPr>
      <w:bookmarkStart w:id="25" w:name="__RefHeading___Toc195769684"/>
      <w:bookmarkEnd w:id="25"/>
      <w:r w:rsidRPr="00167AF1">
        <w:rPr>
          <w:rFonts w:ascii="Arial" w:hAnsi="Arial" w:cs="Arial"/>
        </w:rPr>
        <w:t>Prolongation des délais</w:t>
      </w:r>
    </w:p>
    <w:p w:rsidR="00A615E5" w:rsidRPr="00167AF1" w:rsidRDefault="00A615E5">
      <w:pPr>
        <w:rPr>
          <w:rFonts w:ascii="Arial" w:hAnsi="Arial" w:cs="Arial"/>
        </w:rPr>
      </w:pPr>
      <w:r w:rsidRPr="00167AF1">
        <w:rPr>
          <w:rFonts w:ascii="Arial" w:hAnsi="Arial" w:cs="Arial"/>
        </w:rPr>
        <w:t>Une prolongation du délai d’exécution peut être accordée par le pouvoir adjudicateur dans les conditions de l’article 13 du CCAG.-FCS.</w:t>
      </w:r>
    </w:p>
    <w:p w:rsidR="00A615E5" w:rsidRPr="00167AF1" w:rsidRDefault="00A615E5">
      <w:pPr>
        <w:rPr>
          <w:rFonts w:ascii="Arial" w:hAnsi="Arial" w:cs="Arial"/>
        </w:rPr>
      </w:pPr>
    </w:p>
    <w:p w:rsidR="00A615E5" w:rsidRPr="00167AF1" w:rsidRDefault="00A615E5">
      <w:pPr>
        <w:pStyle w:val="Heading2"/>
        <w:keepNext w:val="0"/>
        <w:tabs>
          <w:tab w:val="left" w:pos="576"/>
        </w:tabs>
        <w:spacing w:before="120" w:after="240"/>
        <w:rPr>
          <w:rFonts w:ascii="Arial" w:hAnsi="Arial" w:cs="Arial"/>
        </w:rPr>
      </w:pPr>
      <w:bookmarkStart w:id="26" w:name="__RefHeading___Toc195769685"/>
      <w:bookmarkEnd w:id="26"/>
      <w:r w:rsidRPr="00167AF1">
        <w:rPr>
          <w:rFonts w:ascii="Arial" w:hAnsi="Arial" w:cs="Arial"/>
        </w:rPr>
        <w:t>Opération de vérification des prestations objet des marchés conclus sur la base du présent accord</w:t>
      </w:r>
    </w:p>
    <w:p w:rsidR="00A615E5" w:rsidRPr="00167AF1" w:rsidRDefault="00A615E5">
      <w:pPr>
        <w:pStyle w:val="SStandard"/>
        <w:tabs>
          <w:tab w:val="left" w:pos="-2127"/>
        </w:tabs>
        <w:spacing w:before="120"/>
        <w:ind w:firstLine="0"/>
        <w:rPr>
          <w:rFonts w:ascii="Arial" w:hAnsi="Arial" w:cs="Arial"/>
        </w:rPr>
      </w:pPr>
      <w:r w:rsidRPr="00167AF1">
        <w:rPr>
          <w:rFonts w:ascii="Arial" w:hAnsi="Arial" w:cs="Arial"/>
        </w:rPr>
        <w:t>Les vérifications consistent à s’assurer que le service est conforme aux prescriptions du présent marché et aux engagements du titulaire.</w:t>
      </w:r>
    </w:p>
    <w:p w:rsidR="00A615E5" w:rsidRPr="00167AF1" w:rsidRDefault="00A615E5">
      <w:pPr>
        <w:autoSpaceDE w:val="0"/>
        <w:jc w:val="both"/>
        <w:rPr>
          <w:rFonts w:ascii="Arial" w:hAnsi="Arial" w:cs="Arial"/>
        </w:rPr>
      </w:pPr>
    </w:p>
    <w:p w:rsidR="00A615E5" w:rsidRPr="00167AF1" w:rsidRDefault="00A615E5">
      <w:pPr>
        <w:pStyle w:val="Header"/>
        <w:tabs>
          <w:tab w:val="clear" w:pos="4536"/>
          <w:tab w:val="clear" w:pos="9072"/>
        </w:tabs>
        <w:autoSpaceDE w:val="0"/>
        <w:jc w:val="both"/>
        <w:rPr>
          <w:rFonts w:ascii="Arial" w:hAnsi="Arial" w:cs="Arial"/>
          <w:kern w:val="1"/>
        </w:rPr>
      </w:pPr>
      <w:r w:rsidRPr="00167AF1">
        <w:rPr>
          <w:rFonts w:ascii="Arial" w:hAnsi="Arial" w:cs="Arial"/>
          <w:kern w:val="1"/>
        </w:rPr>
        <w:t>La réception est l’acte par lequel le pouvoir adjudicateur accepte avec</w:t>
      </w:r>
      <w:r w:rsidRPr="00167AF1">
        <w:rPr>
          <w:rFonts w:ascii="Arial" w:hAnsi="Arial" w:cs="Arial"/>
        </w:rPr>
        <w:t>ou sans réserve, les prestations exécutées.Les opérations de vérification s’effectueront conformément aux articles 23, 24, 25, 26, 27 et 28 du CCAG-FCS.</w:t>
      </w:r>
    </w:p>
    <w:p w:rsidR="00A615E5" w:rsidRPr="00167AF1" w:rsidRDefault="00A615E5">
      <w:pPr>
        <w:pStyle w:val="SStandard"/>
        <w:tabs>
          <w:tab w:val="left" w:pos="-2127"/>
        </w:tabs>
        <w:spacing w:before="240"/>
        <w:ind w:firstLine="0"/>
        <w:rPr>
          <w:rFonts w:ascii="Arial" w:hAnsi="Arial" w:cs="Arial"/>
        </w:rPr>
      </w:pPr>
      <w:r w:rsidRPr="00167AF1">
        <w:rPr>
          <w:rFonts w:ascii="Arial" w:hAnsi="Arial" w:cs="Arial"/>
        </w:rPr>
        <w:t>Afin d’apprécier si les services sont conformes aux prescriptions du présent marché, le pouvoir adjudicateur peut se livrer à tous les contrôles qualitatifs qu’elle jugera nécessaire.</w:t>
      </w:r>
    </w:p>
    <w:p w:rsidR="00A615E5" w:rsidRPr="00167AF1" w:rsidRDefault="00A615E5" w:rsidP="0094522F">
      <w:pPr>
        <w:pStyle w:val="SStandard"/>
        <w:tabs>
          <w:tab w:val="left" w:pos="-2127"/>
        </w:tabs>
        <w:spacing w:before="0"/>
        <w:ind w:firstLine="0"/>
        <w:rPr>
          <w:rFonts w:ascii="Arial" w:hAnsi="Arial" w:cs="Arial"/>
        </w:rPr>
      </w:pPr>
    </w:p>
    <w:p w:rsidR="00A615E5" w:rsidRPr="00167AF1" w:rsidRDefault="00A615E5">
      <w:pPr>
        <w:pStyle w:val="Heading3"/>
        <w:rPr>
          <w:rFonts w:ascii="Arial" w:hAnsi="Arial" w:cs="Arial"/>
        </w:rPr>
      </w:pPr>
      <w:bookmarkStart w:id="27" w:name="__RefHeading___Toc195769686"/>
      <w:bookmarkEnd w:id="27"/>
      <w:r w:rsidRPr="00167AF1">
        <w:rPr>
          <w:rFonts w:ascii="Arial" w:hAnsi="Arial" w:cs="Arial"/>
        </w:rPr>
        <w:t>Pénalités de retard et Calcul des pénalités</w:t>
      </w:r>
    </w:p>
    <w:p w:rsidR="00A615E5" w:rsidRPr="00167AF1" w:rsidRDefault="00A615E5">
      <w:pPr>
        <w:pStyle w:val="NormalWeb"/>
        <w:rPr>
          <w:rFonts w:ascii="Arial" w:hAnsi="Arial" w:cs="Arial"/>
        </w:rPr>
      </w:pPr>
      <w:r w:rsidRPr="00167AF1">
        <w:rPr>
          <w:rFonts w:ascii="Arial" w:hAnsi="Arial" w:cs="Arial"/>
        </w:rPr>
        <w:t>Conforme à Article 14-1-1 du CCAG-FCS, le prestataire se verra appliquer en cas de non respect du délai contractuel sans mise en demeure préalable, une pénalité de retard calculée par application de la formule suivante :</w:t>
      </w:r>
    </w:p>
    <w:p w:rsidR="00A615E5" w:rsidRPr="00167AF1" w:rsidRDefault="00A615E5">
      <w:pPr>
        <w:pStyle w:val="Style1"/>
        <w:rPr>
          <w:rFonts w:ascii="Arial" w:hAnsi="Arial" w:cs="Arial"/>
        </w:rPr>
      </w:pPr>
      <w:r w:rsidRPr="00167AF1">
        <w:rPr>
          <w:rFonts w:ascii="Arial" w:hAnsi="Arial" w:cs="Arial"/>
        </w:rPr>
        <w:t xml:space="preserve">P = V x R / 1000j </w:t>
      </w:r>
    </w:p>
    <w:p w:rsidR="00A615E5" w:rsidRPr="00167AF1" w:rsidRDefault="00A615E5">
      <w:pPr>
        <w:jc w:val="both"/>
        <w:rPr>
          <w:rFonts w:ascii="Arial" w:hAnsi="Arial" w:cs="Arial"/>
        </w:rPr>
      </w:pPr>
    </w:p>
    <w:p w:rsidR="00A615E5" w:rsidRPr="00167AF1" w:rsidRDefault="00A615E5">
      <w:pPr>
        <w:pStyle w:val="Style1"/>
        <w:rPr>
          <w:rFonts w:ascii="Arial" w:hAnsi="Arial" w:cs="Arial"/>
        </w:rPr>
      </w:pPr>
      <w:r w:rsidRPr="00167AF1">
        <w:rPr>
          <w:rFonts w:ascii="Arial" w:hAnsi="Arial" w:cs="Arial"/>
        </w:rPr>
        <w:t>P = montant de la pénalité</w:t>
      </w:r>
    </w:p>
    <w:p w:rsidR="00A615E5" w:rsidRPr="00167AF1" w:rsidRDefault="00A615E5">
      <w:pPr>
        <w:jc w:val="both"/>
        <w:rPr>
          <w:rFonts w:ascii="Arial" w:hAnsi="Arial" w:cs="Arial"/>
        </w:rPr>
      </w:pPr>
      <w:r w:rsidRPr="00167AF1">
        <w:rPr>
          <w:rFonts w:ascii="Arial" w:hAnsi="Arial" w:cs="Arial"/>
        </w:rPr>
        <w:t>V = valeur des prestations</w:t>
      </w:r>
    </w:p>
    <w:p w:rsidR="00A615E5" w:rsidRPr="00167AF1" w:rsidRDefault="00A615E5">
      <w:pPr>
        <w:jc w:val="both"/>
        <w:rPr>
          <w:rFonts w:ascii="Arial" w:hAnsi="Arial" w:cs="Arial"/>
        </w:rPr>
      </w:pPr>
      <w:r w:rsidRPr="00167AF1">
        <w:rPr>
          <w:rFonts w:ascii="Arial" w:hAnsi="Arial" w:cs="Arial"/>
        </w:rPr>
        <w:t>R = nombre de jours de retard</w:t>
      </w:r>
    </w:p>
    <w:p w:rsidR="00A615E5" w:rsidRPr="00167AF1" w:rsidRDefault="00A615E5">
      <w:pPr>
        <w:jc w:val="both"/>
        <w:rPr>
          <w:rFonts w:ascii="Arial" w:hAnsi="Arial" w:cs="Arial"/>
        </w:rPr>
      </w:pPr>
    </w:p>
    <w:p w:rsidR="00A615E5" w:rsidRPr="00167AF1" w:rsidRDefault="00A615E5">
      <w:pPr>
        <w:pStyle w:val="Heading3"/>
        <w:rPr>
          <w:rFonts w:ascii="Arial" w:hAnsi="Arial" w:cs="Arial"/>
        </w:rPr>
      </w:pPr>
      <w:bookmarkStart w:id="28" w:name="__RefHeading___Toc195769687"/>
      <w:bookmarkEnd w:id="28"/>
      <w:r w:rsidRPr="00167AF1">
        <w:rPr>
          <w:rFonts w:ascii="Arial" w:hAnsi="Arial" w:cs="Arial"/>
        </w:rPr>
        <w:t>Application des pénalités</w:t>
      </w:r>
    </w:p>
    <w:p w:rsidR="00A615E5" w:rsidRPr="00167AF1" w:rsidRDefault="00A615E5">
      <w:pPr>
        <w:jc w:val="both"/>
        <w:rPr>
          <w:rFonts w:ascii="Arial" w:hAnsi="Arial" w:cs="Arial"/>
        </w:rPr>
      </w:pPr>
      <w:r w:rsidRPr="00167AF1">
        <w:rPr>
          <w:rFonts w:ascii="Arial" w:hAnsi="Arial" w:cs="Arial"/>
        </w:rPr>
        <w:t>Ces pénalités seront déduites du montant restant dû par la personne publique contractante ayant passé la commande ou feront l'objet d'un ordre de recette par le comptable publique à l’encontre du titulaire.</w:t>
      </w:r>
    </w:p>
    <w:p w:rsidR="00A615E5" w:rsidRPr="00167AF1" w:rsidRDefault="00A615E5">
      <w:pPr>
        <w:jc w:val="both"/>
        <w:rPr>
          <w:rFonts w:ascii="Arial" w:hAnsi="Arial" w:cs="Arial"/>
        </w:rPr>
      </w:pPr>
      <w:r w:rsidRPr="00167AF1">
        <w:rPr>
          <w:rFonts w:ascii="Arial" w:hAnsi="Arial" w:cs="Arial"/>
        </w:rPr>
        <w:t>Elles restent dues en cas de résiliation.</w:t>
      </w:r>
    </w:p>
    <w:p w:rsidR="00A615E5" w:rsidRPr="00167AF1" w:rsidRDefault="00A615E5">
      <w:pPr>
        <w:jc w:val="both"/>
        <w:rPr>
          <w:rFonts w:ascii="Arial" w:hAnsi="Arial" w:cs="Arial"/>
        </w:rPr>
      </w:pPr>
    </w:p>
    <w:p w:rsidR="00A615E5" w:rsidRPr="00167AF1" w:rsidRDefault="00A615E5">
      <w:pPr>
        <w:pStyle w:val="Heading3"/>
        <w:rPr>
          <w:rFonts w:ascii="Arial" w:hAnsi="Arial" w:cs="Arial"/>
        </w:rPr>
      </w:pPr>
      <w:bookmarkStart w:id="29" w:name="__RefHeading___Toc195769688"/>
      <w:bookmarkEnd w:id="29"/>
      <w:r w:rsidRPr="00167AF1">
        <w:rPr>
          <w:rFonts w:ascii="Arial" w:hAnsi="Arial" w:cs="Arial"/>
        </w:rPr>
        <w:t>Exonération des pénalités</w:t>
      </w:r>
    </w:p>
    <w:p w:rsidR="00A615E5" w:rsidRPr="00167AF1" w:rsidRDefault="00A615E5">
      <w:pPr>
        <w:jc w:val="both"/>
        <w:rPr>
          <w:rFonts w:ascii="Arial" w:hAnsi="Arial" w:cs="Arial"/>
        </w:rPr>
      </w:pPr>
      <w:r w:rsidRPr="00167AF1">
        <w:rPr>
          <w:rFonts w:ascii="Arial" w:hAnsi="Arial" w:cs="Arial"/>
        </w:rPr>
        <w:t>La personne publique contractante peut exonérer le titulaire de ces pénalités si le titulaire invoque, avant l’expiration des délais contractuels prévus, une cause de retard due à un événement extérieur et imprévisible. Il notifie à la personne publique, par lettre recommandée avec accusé de réception les motifs de son incapacité à assurer son obligation et propose une nouvelle date de livraison.</w:t>
      </w:r>
    </w:p>
    <w:p w:rsidR="00A615E5" w:rsidRPr="00167AF1" w:rsidRDefault="00A615E5">
      <w:pPr>
        <w:jc w:val="both"/>
        <w:rPr>
          <w:rFonts w:ascii="Arial" w:hAnsi="Arial" w:cs="Arial"/>
        </w:rPr>
      </w:pPr>
    </w:p>
    <w:p w:rsidR="00A615E5" w:rsidRPr="00167AF1" w:rsidRDefault="00A615E5">
      <w:pPr>
        <w:jc w:val="both"/>
        <w:rPr>
          <w:rFonts w:ascii="Arial" w:hAnsi="Arial" w:cs="Arial"/>
        </w:rPr>
      </w:pPr>
      <w:r w:rsidRPr="00167AF1">
        <w:rPr>
          <w:rFonts w:ascii="Arial" w:hAnsi="Arial" w:cs="Arial"/>
        </w:rPr>
        <w:t>La personne publique dispose d’un délai de quinze jours ouvrés pour faire connaître sa décision de rejet ou d’acceptation du report de la date de livraison et de l’exonération des pénalités de retard. Le silence de la personne publique contractante vaut rejet de la demande du titulaire et application des pénalités. Les pénalités sont alors calculées à partir de la date contractuelle de livraison sans suspension.</w:t>
      </w:r>
    </w:p>
    <w:p w:rsidR="00A615E5" w:rsidRPr="00167AF1" w:rsidRDefault="00A615E5">
      <w:pPr>
        <w:jc w:val="both"/>
        <w:rPr>
          <w:rFonts w:ascii="Arial" w:hAnsi="Arial" w:cs="Arial"/>
        </w:rPr>
      </w:pPr>
    </w:p>
    <w:p w:rsidR="00A615E5" w:rsidRPr="00167AF1" w:rsidRDefault="00A615E5" w:rsidP="002F5C44">
      <w:pPr>
        <w:jc w:val="both"/>
        <w:rPr>
          <w:rFonts w:ascii="Arial" w:hAnsi="Arial" w:cs="Arial"/>
        </w:rPr>
      </w:pPr>
      <w:r w:rsidRPr="00167AF1">
        <w:rPr>
          <w:rFonts w:ascii="Arial" w:hAnsi="Arial" w:cs="Arial"/>
        </w:rPr>
        <w:t>Les pénalités restent dues jusqu’à la date d’envoi de cette lettre, le cachet de La Poste faisant foi.</w:t>
      </w:r>
    </w:p>
    <w:p w:rsidR="00A615E5" w:rsidRPr="00167AF1" w:rsidRDefault="00A615E5">
      <w:pPr>
        <w:rPr>
          <w:rFonts w:ascii="Arial" w:hAnsi="Arial" w:cs="Arial"/>
        </w:rPr>
      </w:pPr>
    </w:p>
    <w:p w:rsidR="00A615E5" w:rsidRPr="00167AF1" w:rsidRDefault="00A615E5">
      <w:pPr>
        <w:pStyle w:val="Heading2"/>
        <w:keepNext w:val="0"/>
        <w:tabs>
          <w:tab w:val="left" w:pos="576"/>
        </w:tabs>
        <w:spacing w:before="120" w:after="240"/>
        <w:rPr>
          <w:rFonts w:ascii="Arial" w:hAnsi="Arial" w:cs="Arial"/>
        </w:rPr>
      </w:pPr>
      <w:bookmarkStart w:id="30" w:name="__RefHeading___Toc195769689"/>
      <w:bookmarkEnd w:id="30"/>
      <w:r w:rsidRPr="00167AF1">
        <w:rPr>
          <w:rFonts w:ascii="Arial" w:hAnsi="Arial" w:cs="Arial"/>
        </w:rPr>
        <w:t>Garantie</w:t>
      </w:r>
    </w:p>
    <w:p w:rsidR="00A615E5" w:rsidRPr="00167AF1" w:rsidRDefault="00A615E5">
      <w:pPr>
        <w:pStyle w:val="Heading3"/>
        <w:rPr>
          <w:rFonts w:ascii="Arial" w:hAnsi="Arial" w:cs="Arial"/>
        </w:rPr>
      </w:pPr>
      <w:bookmarkStart w:id="31" w:name="__RefHeading___Toc195769690"/>
      <w:bookmarkEnd w:id="31"/>
      <w:r w:rsidRPr="00167AF1">
        <w:rPr>
          <w:rFonts w:ascii="Arial" w:hAnsi="Arial" w:cs="Arial"/>
        </w:rPr>
        <w:t>Nature des obligations au titre de la garantie</w:t>
      </w:r>
    </w:p>
    <w:p w:rsidR="00A615E5" w:rsidRPr="00167AF1" w:rsidRDefault="00A615E5">
      <w:pPr>
        <w:rPr>
          <w:rFonts w:ascii="Arial" w:hAnsi="Arial" w:cs="Arial"/>
        </w:rPr>
      </w:pPr>
      <w:r w:rsidRPr="00167AF1">
        <w:rPr>
          <w:rFonts w:ascii="Arial" w:hAnsi="Arial" w:cs="Arial"/>
        </w:rPr>
        <w:t>Les produits sont garantis dans les conditions prévues à l’article 28 du CCAG-FCS. Ainsi que les dispositions des articles 61 de l' ordonnance du 2015-899 et  122 à 126 du décret du 25/03/2016 relatif aux marchés publics (retenue de garantie/caution personnelle et solidaire)</w:t>
      </w:r>
    </w:p>
    <w:p w:rsidR="00A615E5" w:rsidRPr="00167AF1" w:rsidRDefault="00A615E5">
      <w:pPr>
        <w:rPr>
          <w:rFonts w:ascii="Arial" w:hAnsi="Arial" w:cs="Arial"/>
        </w:rPr>
      </w:pPr>
      <w:r w:rsidRPr="00167AF1">
        <w:rPr>
          <w:rFonts w:ascii="Arial" w:hAnsi="Arial" w:cs="Arial"/>
        </w:rPr>
        <w:t>La délai de garantie court à partir la date de notification de réception.</w:t>
      </w:r>
      <w:r w:rsidRPr="00167AF1">
        <w:rPr>
          <w:rStyle w:val="Caractresdenotedebasdepage"/>
          <w:rFonts w:ascii="Arial" w:hAnsi="Arial" w:cs="Arial"/>
          <w:b/>
          <w:bCs/>
          <w:i/>
          <w:iCs/>
        </w:rPr>
        <w:footnoteReference w:id="3"/>
      </w:r>
    </w:p>
    <w:p w:rsidR="00A615E5" w:rsidRPr="00167AF1" w:rsidRDefault="00A615E5">
      <w:pPr>
        <w:jc w:val="both"/>
        <w:rPr>
          <w:rFonts w:ascii="Arial" w:hAnsi="Arial" w:cs="Arial"/>
        </w:rPr>
      </w:pPr>
    </w:p>
    <w:p w:rsidR="00A615E5" w:rsidRPr="00167AF1" w:rsidRDefault="00A615E5">
      <w:pPr>
        <w:jc w:val="both"/>
        <w:rPr>
          <w:rFonts w:ascii="Arial" w:hAnsi="Arial" w:cs="Arial"/>
        </w:rPr>
      </w:pPr>
      <w:r w:rsidRPr="00167AF1">
        <w:rPr>
          <w:rFonts w:ascii="Arial" w:hAnsi="Arial" w:cs="Arial"/>
        </w:rPr>
        <w:t>Tout élément couvert par la garantie s'avérant non conforme sera ou remplacé gratuitement.</w:t>
      </w:r>
    </w:p>
    <w:p w:rsidR="00A615E5" w:rsidRPr="00167AF1" w:rsidRDefault="00A615E5">
      <w:pPr>
        <w:jc w:val="both"/>
        <w:rPr>
          <w:rFonts w:ascii="Arial" w:hAnsi="Arial" w:cs="Arial"/>
        </w:rPr>
      </w:pPr>
    </w:p>
    <w:p w:rsidR="00A615E5" w:rsidRPr="00167AF1" w:rsidRDefault="00A615E5">
      <w:pPr>
        <w:pStyle w:val="Heading3"/>
        <w:rPr>
          <w:rFonts w:ascii="Arial" w:hAnsi="Arial" w:cs="Arial"/>
        </w:rPr>
      </w:pPr>
      <w:bookmarkStart w:id="32" w:name="__RefHeading___Toc195769691"/>
      <w:bookmarkEnd w:id="32"/>
      <w:r w:rsidRPr="00167AF1">
        <w:rPr>
          <w:rFonts w:ascii="Arial" w:hAnsi="Arial" w:cs="Arial"/>
        </w:rPr>
        <w:t>Défaillance du titulaire</w:t>
      </w:r>
    </w:p>
    <w:p w:rsidR="00A615E5" w:rsidRPr="00167AF1" w:rsidRDefault="00A615E5">
      <w:pPr>
        <w:pStyle w:val="Style1"/>
        <w:rPr>
          <w:rFonts w:ascii="Arial" w:hAnsi="Arial" w:cs="Arial"/>
        </w:rPr>
      </w:pPr>
      <w:r w:rsidRPr="00167AF1">
        <w:rPr>
          <w:rFonts w:ascii="Arial" w:hAnsi="Arial" w:cs="Arial"/>
        </w:rPr>
        <w:t>En cas de défaillance du titulaire, c’est à dire dans l’hypothèse où le titulaire n’interviendrait pas dans les délais contractuels, le pouvoir adjudicateur fait appel à un autre prestataire pour assurer la demande en conformité. Les dépenses occasionnées par l’intervention d’un tiers au marché sont déduites du montant de la retenue de garantie prévue aux présentes conditions générales.</w:t>
      </w:r>
    </w:p>
    <w:p w:rsidR="00A615E5" w:rsidRPr="00167AF1" w:rsidRDefault="00A615E5">
      <w:pPr>
        <w:jc w:val="both"/>
        <w:rPr>
          <w:rFonts w:ascii="Arial" w:hAnsi="Arial" w:cs="Arial"/>
        </w:rPr>
      </w:pPr>
    </w:p>
    <w:p w:rsidR="00A615E5" w:rsidRPr="00167AF1" w:rsidRDefault="00A615E5">
      <w:pPr>
        <w:jc w:val="both"/>
        <w:rPr>
          <w:rFonts w:ascii="Arial" w:hAnsi="Arial" w:cs="Arial"/>
        </w:rPr>
      </w:pPr>
      <w:r w:rsidRPr="00167AF1">
        <w:rPr>
          <w:rFonts w:ascii="Arial" w:hAnsi="Arial" w:cs="Arial"/>
        </w:rPr>
        <w:t>Le pouvoir adjudicateur ou son représentant, est en droit de remettre au prestataire intervenant à la place du titulaire défaillant dans le cadre et durant la période de garantie, les éléments qui lui aura été remise par le titulaire dans son offre afin que ce prestataire puisse assurer dans les meilleures conditions possibles l’objet de la demande.</w:t>
      </w:r>
    </w:p>
    <w:p w:rsidR="00A615E5" w:rsidRPr="00167AF1" w:rsidRDefault="00A615E5">
      <w:pPr>
        <w:jc w:val="both"/>
        <w:rPr>
          <w:rFonts w:ascii="Arial" w:hAnsi="Arial" w:cs="Arial"/>
        </w:rPr>
      </w:pPr>
    </w:p>
    <w:p w:rsidR="00A615E5" w:rsidRPr="00167AF1" w:rsidRDefault="00A615E5">
      <w:pPr>
        <w:jc w:val="both"/>
        <w:rPr>
          <w:rFonts w:ascii="Arial" w:hAnsi="Arial" w:cs="Arial"/>
        </w:rPr>
      </w:pPr>
      <w:r w:rsidRPr="00167AF1">
        <w:rPr>
          <w:rFonts w:ascii="Arial" w:hAnsi="Arial" w:cs="Arial"/>
        </w:rPr>
        <w:t>Le pouvoir adjudicateur  s’engage à ne transmettre ces éléments qu’en cas de défaillance du titulaire. En contre partie celui-ci s’interdit toute action contre le pouvoir adjudicateur  sur le fondement du droit de propriété intellectuelle et du droit de la concurrence.</w:t>
      </w:r>
    </w:p>
    <w:p w:rsidR="00A615E5" w:rsidRPr="00167AF1" w:rsidRDefault="00A615E5">
      <w:pPr>
        <w:rPr>
          <w:rFonts w:ascii="Arial" w:hAnsi="Arial" w:cs="Arial"/>
        </w:rPr>
      </w:pPr>
    </w:p>
    <w:p w:rsidR="00A615E5" w:rsidRPr="00CF0E50" w:rsidRDefault="00A615E5" w:rsidP="00CF0E50">
      <w:pPr>
        <w:pStyle w:val="Heading2"/>
        <w:keepNext w:val="0"/>
        <w:tabs>
          <w:tab w:val="left" w:pos="576"/>
        </w:tabs>
        <w:spacing w:before="120" w:after="240"/>
        <w:jc w:val="both"/>
        <w:rPr>
          <w:rFonts w:ascii="Arial" w:hAnsi="Arial" w:cs="Arial"/>
        </w:rPr>
      </w:pPr>
      <w:bookmarkStart w:id="33" w:name="__RefHeading___Toc195769692"/>
      <w:bookmarkEnd w:id="33"/>
      <w:r w:rsidRPr="00CF0E50">
        <w:rPr>
          <w:rFonts w:ascii="Arial" w:hAnsi="Arial" w:cs="Arial"/>
        </w:rPr>
        <w:t>Assurances</w:t>
      </w:r>
    </w:p>
    <w:p w:rsidR="00A615E5" w:rsidRPr="00167AF1" w:rsidRDefault="00A615E5" w:rsidP="00CF0E50">
      <w:pPr>
        <w:autoSpaceDE w:val="0"/>
        <w:jc w:val="both"/>
        <w:rPr>
          <w:rFonts w:ascii="Arial" w:hAnsi="Arial" w:cs="Arial"/>
        </w:rPr>
      </w:pPr>
      <w:r w:rsidRPr="00CF0E50">
        <w:rPr>
          <w:rFonts w:ascii="Arial" w:hAnsi="Arial" w:cs="Arial"/>
        </w:rPr>
        <w:t>Le titulaire</w:t>
      </w:r>
      <w:bookmarkStart w:id="34" w:name="_GoBack"/>
      <w:bookmarkEnd w:id="34"/>
      <w:r w:rsidRPr="00CF0E50">
        <w:rPr>
          <w:rFonts w:ascii="Arial" w:hAnsi="Arial" w:cs="Arial"/>
        </w:rPr>
        <w:t xml:space="preserve"> du </w:t>
      </w:r>
      <w:r>
        <w:rPr>
          <w:rFonts w:ascii="Arial" w:hAnsi="Arial" w:cs="Arial"/>
        </w:rPr>
        <w:t>marché</w:t>
      </w:r>
      <w:r w:rsidRPr="00CF0E50">
        <w:rPr>
          <w:rFonts w:ascii="Arial" w:hAnsi="Arial" w:cs="Arial"/>
        </w:rPr>
        <w:t xml:space="preserve"> </w:t>
      </w:r>
      <w:r>
        <w:rPr>
          <w:rFonts w:ascii="Arial" w:hAnsi="Arial" w:cs="Arial"/>
        </w:rPr>
        <w:t>devra</w:t>
      </w:r>
      <w:r w:rsidRPr="00CF0E50">
        <w:rPr>
          <w:rFonts w:ascii="Arial" w:hAnsi="Arial" w:cs="Arial"/>
        </w:rPr>
        <w:t xml:space="preserve"> justifier au moyen d’une attestation portant mention de l’étendue de la garantie, au moment de l</w:t>
      </w:r>
      <w:r>
        <w:rPr>
          <w:rFonts w:ascii="Arial" w:hAnsi="Arial" w:cs="Arial"/>
        </w:rPr>
        <w:t>a constitution</w:t>
      </w:r>
      <w:r w:rsidRPr="00CF0E50">
        <w:rPr>
          <w:rFonts w:ascii="Arial" w:hAnsi="Arial" w:cs="Arial"/>
        </w:rPr>
        <w:t xml:space="preserve"> puis en cours d’exécution</w:t>
      </w:r>
      <w:r>
        <w:rPr>
          <w:rFonts w:ascii="Arial" w:hAnsi="Arial" w:cs="Arial"/>
        </w:rPr>
        <w:t>,</w:t>
      </w:r>
      <w:r w:rsidRPr="00CF0E50">
        <w:rPr>
          <w:rFonts w:ascii="Arial" w:hAnsi="Arial" w:cs="Arial"/>
        </w:rPr>
        <w:t xml:space="preserve"> d’une assurance couvrant les conséquences pécuniaires de res</w:t>
      </w:r>
      <w:r>
        <w:rPr>
          <w:rFonts w:ascii="Arial" w:hAnsi="Arial" w:cs="Arial"/>
        </w:rPr>
        <w:t>ponsabilité civile (RC) qu’il encoure</w:t>
      </w:r>
      <w:r w:rsidRPr="00CF0E50">
        <w:rPr>
          <w:rFonts w:ascii="Arial" w:hAnsi="Arial" w:cs="Arial"/>
        </w:rPr>
        <w:t xml:space="preserve"> vis-à-vis des tiers et du pouvoir adjudicateur en cas d’accident ou de tous dommages causés à l’occasion de l’exécution </w:t>
      </w:r>
      <w:r>
        <w:rPr>
          <w:rFonts w:ascii="Arial" w:hAnsi="Arial" w:cs="Arial"/>
        </w:rPr>
        <w:t>bons de commande</w:t>
      </w:r>
      <w:r w:rsidRPr="00CF0E50">
        <w:rPr>
          <w:rFonts w:ascii="Arial" w:hAnsi="Arial" w:cs="Arial"/>
        </w:rPr>
        <w:t xml:space="preserve"> conclus sur la base du présent Marché. </w:t>
      </w:r>
      <w:r w:rsidRPr="00CF0E50">
        <w:rPr>
          <w:rFonts w:ascii="Arial" w:hAnsi="Arial" w:cs="Arial"/>
          <w:b/>
          <w:bCs/>
        </w:rPr>
        <w:t xml:space="preserve">L’attestation devra être remise dans le délai de 8 jours francs à compter de la notification du Marché public </w:t>
      </w:r>
      <w:r>
        <w:rPr>
          <w:rFonts w:ascii="Arial" w:hAnsi="Arial" w:cs="Arial"/>
          <w:b/>
          <w:bCs/>
        </w:rPr>
        <w:t>à procédure adaptée (MAPA) au titulaire</w:t>
      </w:r>
      <w:r w:rsidRPr="00CF0E50">
        <w:rPr>
          <w:rFonts w:ascii="Arial" w:hAnsi="Arial" w:cs="Arial"/>
          <w:b/>
          <w:bCs/>
        </w:rPr>
        <w:t>.</w:t>
      </w:r>
    </w:p>
    <w:p w:rsidR="00A615E5" w:rsidRPr="00167AF1" w:rsidRDefault="00A615E5">
      <w:pPr>
        <w:jc w:val="both"/>
        <w:rPr>
          <w:rFonts w:ascii="Arial" w:hAnsi="Arial" w:cs="Arial"/>
        </w:rPr>
      </w:pPr>
    </w:p>
    <w:p w:rsidR="00A615E5" w:rsidRPr="00167AF1" w:rsidRDefault="00A615E5">
      <w:pPr>
        <w:pStyle w:val="Heading2"/>
        <w:keepNext w:val="0"/>
        <w:tabs>
          <w:tab w:val="left" w:pos="576"/>
        </w:tabs>
        <w:spacing w:before="120" w:after="240"/>
        <w:rPr>
          <w:rFonts w:ascii="Arial" w:hAnsi="Arial" w:cs="Arial"/>
        </w:rPr>
      </w:pPr>
      <w:bookmarkStart w:id="35" w:name="__RefHeading___Toc195769693"/>
      <w:bookmarkEnd w:id="35"/>
      <w:r w:rsidRPr="00167AF1">
        <w:rPr>
          <w:rFonts w:ascii="Arial" w:hAnsi="Arial" w:cs="Arial"/>
        </w:rPr>
        <w:t>Personnel du titulaire</w:t>
      </w:r>
    </w:p>
    <w:p w:rsidR="00A615E5" w:rsidRPr="002F5C44" w:rsidRDefault="00A615E5">
      <w:pPr>
        <w:jc w:val="both"/>
        <w:rPr>
          <w:rFonts w:ascii="Arial" w:hAnsi="Arial" w:cs="Arial"/>
        </w:rPr>
      </w:pPr>
      <w:r w:rsidRPr="00167AF1">
        <w:rPr>
          <w:rFonts w:ascii="Arial" w:hAnsi="Arial" w:cs="Arial"/>
        </w:rPr>
        <w:t xml:space="preserve">Le titulaire atteste sur l’honneur, par la signature du présent marché, que son personnel est employé régulièrement au regard des articles L.143-3 et L.143-5 et L.620-3 du code du travail ou règles d’effet </w:t>
      </w:r>
      <w:r w:rsidRPr="002F5C44">
        <w:rPr>
          <w:rFonts w:ascii="Arial" w:hAnsi="Arial" w:cs="Arial"/>
        </w:rPr>
        <w:t>équivalent pour les candidats non établis en France.</w:t>
      </w:r>
    </w:p>
    <w:p w:rsidR="00A615E5" w:rsidRPr="002F5C44" w:rsidRDefault="00A615E5">
      <w:pPr>
        <w:pStyle w:val="Corpsdetexte21"/>
        <w:rPr>
          <w:rFonts w:ascii="Arial" w:hAnsi="Arial" w:cs="Arial"/>
        </w:rPr>
      </w:pPr>
      <w:r w:rsidRPr="002F5C44">
        <w:rPr>
          <w:rFonts w:ascii="Arial" w:hAnsi="Arial" w:cs="Arial"/>
        </w:rPr>
        <w:t xml:space="preserve">Le titulaire est soumis aux obligations résultant des lois et règlements à la protection de la main-d'œuvre et aux conditions du travail en vigueur à la date de réalisation de l’objet du marché. </w:t>
      </w:r>
    </w:p>
    <w:p w:rsidR="00A615E5" w:rsidRPr="00167AF1" w:rsidRDefault="00A615E5">
      <w:pPr>
        <w:ind w:right="141"/>
        <w:jc w:val="both"/>
        <w:rPr>
          <w:rFonts w:ascii="Arial" w:hAnsi="Arial" w:cs="Arial"/>
        </w:rPr>
      </w:pPr>
    </w:p>
    <w:p w:rsidR="00A615E5" w:rsidRPr="00167AF1" w:rsidRDefault="00A615E5">
      <w:pPr>
        <w:pStyle w:val="Heading2"/>
        <w:keepNext w:val="0"/>
        <w:tabs>
          <w:tab w:val="left" w:pos="576"/>
        </w:tabs>
        <w:spacing w:before="120" w:after="240"/>
        <w:rPr>
          <w:rFonts w:ascii="Arial" w:hAnsi="Arial" w:cs="Arial"/>
        </w:rPr>
      </w:pPr>
      <w:bookmarkStart w:id="36" w:name="__RefHeading___Toc195769694"/>
      <w:bookmarkEnd w:id="36"/>
      <w:r w:rsidRPr="00167AF1">
        <w:rPr>
          <w:rFonts w:ascii="Arial" w:hAnsi="Arial" w:cs="Arial"/>
        </w:rPr>
        <w:t>Résiliation, différends et litiges</w:t>
      </w:r>
    </w:p>
    <w:p w:rsidR="00A615E5" w:rsidRPr="00167AF1" w:rsidRDefault="00A615E5">
      <w:pPr>
        <w:pStyle w:val="Heading3"/>
        <w:rPr>
          <w:rFonts w:ascii="Arial" w:hAnsi="Arial" w:cs="Arial"/>
        </w:rPr>
      </w:pPr>
      <w:bookmarkStart w:id="37" w:name="__RefHeading___Toc195769695"/>
      <w:bookmarkEnd w:id="37"/>
      <w:r w:rsidRPr="00167AF1">
        <w:rPr>
          <w:rFonts w:ascii="Arial" w:hAnsi="Arial" w:cs="Arial"/>
        </w:rPr>
        <w:t>Résiliation</w:t>
      </w:r>
    </w:p>
    <w:p w:rsidR="00A615E5" w:rsidRPr="00167AF1" w:rsidRDefault="00A615E5">
      <w:pPr>
        <w:pStyle w:val="titre4"/>
        <w:numPr>
          <w:ilvl w:val="3"/>
          <w:numId w:val="8"/>
        </w:numPr>
        <w:rPr>
          <w:rFonts w:ascii="Arial" w:hAnsi="Arial" w:cs="Arial"/>
        </w:rPr>
      </w:pPr>
      <w:r w:rsidRPr="00167AF1">
        <w:rPr>
          <w:rFonts w:ascii="Arial" w:hAnsi="Arial" w:cs="Arial"/>
        </w:rPr>
        <w:t>Résiliation pour faute du titulaire</w:t>
      </w:r>
    </w:p>
    <w:p w:rsidR="00A615E5" w:rsidRDefault="00A615E5">
      <w:pPr>
        <w:pStyle w:val="Style1"/>
        <w:rPr>
          <w:rFonts w:ascii="Arial" w:hAnsi="Arial" w:cs="Arial"/>
        </w:rPr>
      </w:pPr>
      <w:r w:rsidRPr="00167AF1">
        <w:rPr>
          <w:rFonts w:ascii="Arial" w:hAnsi="Arial" w:cs="Arial"/>
        </w:rPr>
        <w:t xml:space="preserve">Le pouvoir adjudicateur se réserve le droit de résilier le marché en cas de non-respect par le titulaire de l’une de </w:t>
      </w:r>
      <w:r>
        <w:rPr>
          <w:rFonts w:ascii="Arial" w:hAnsi="Arial" w:cs="Arial"/>
        </w:rPr>
        <w:t>ses obligations contractuelles.</w:t>
      </w:r>
    </w:p>
    <w:p w:rsidR="00A615E5" w:rsidRPr="002F5C44" w:rsidRDefault="00A615E5" w:rsidP="002F5C44"/>
    <w:p w:rsidR="00A615E5" w:rsidRPr="00167AF1" w:rsidRDefault="00A615E5">
      <w:pPr>
        <w:pStyle w:val="Style1"/>
        <w:rPr>
          <w:rFonts w:ascii="Arial" w:hAnsi="Arial" w:cs="Arial"/>
        </w:rPr>
      </w:pPr>
      <w:r w:rsidRPr="00167AF1">
        <w:rPr>
          <w:rFonts w:ascii="Arial" w:hAnsi="Arial" w:cs="Arial"/>
        </w:rPr>
        <w:t>La personne publique notifiera sa décision par lettre recommandée avec accusé de réception postal dans un délai d’un mois avant la date prévue. Le titulaire disposera d’un délai de quinze jours ouvrés pour faire part de ses remarques à la personne publique. Si la personne publique maintient sa décision, la date de résiliation prendra effet à l’expiration de ce délai</w:t>
      </w:r>
    </w:p>
    <w:p w:rsidR="00A615E5" w:rsidRPr="00167AF1" w:rsidRDefault="00A615E5">
      <w:pPr>
        <w:rPr>
          <w:rFonts w:ascii="Arial" w:hAnsi="Arial" w:cs="Arial"/>
        </w:rPr>
      </w:pPr>
    </w:p>
    <w:p w:rsidR="00A615E5" w:rsidRPr="002F5C44" w:rsidRDefault="00A615E5">
      <w:pPr>
        <w:pStyle w:val="titre4"/>
        <w:numPr>
          <w:ilvl w:val="3"/>
          <w:numId w:val="8"/>
        </w:numPr>
        <w:rPr>
          <w:rFonts w:ascii="Arial" w:hAnsi="Arial" w:cs="Arial"/>
        </w:rPr>
      </w:pPr>
      <w:r w:rsidRPr="002F5C44">
        <w:rPr>
          <w:rFonts w:ascii="Arial" w:hAnsi="Arial" w:cs="Arial"/>
        </w:rPr>
        <w:t>Résiliation conventionnelle</w:t>
      </w:r>
    </w:p>
    <w:p w:rsidR="00A615E5" w:rsidRPr="002F5C44" w:rsidRDefault="00A615E5">
      <w:pPr>
        <w:pStyle w:val="BodyText"/>
        <w:tabs>
          <w:tab w:val="left" w:pos="0"/>
        </w:tabs>
        <w:spacing w:after="360"/>
        <w:jc w:val="both"/>
        <w:rPr>
          <w:rFonts w:ascii="Arial" w:hAnsi="Arial" w:cs="Arial"/>
        </w:rPr>
      </w:pPr>
      <w:r w:rsidRPr="002F5C44">
        <w:rPr>
          <w:rFonts w:ascii="Arial" w:hAnsi="Arial" w:cs="Arial"/>
        </w:rPr>
        <w:t>Les parties pourront, après accord, mettre fin au contrat avant l’exécution complète du marché. Cette résiliation conventionnelle sera matérialisée par une convention de résiliation qui devra stipuler éventuellement le droit à indemnité ou le montant des prestations restant à régler. Cette convention sera signée par la personne publique contractante et par la personne habilitée à représenter le titulaire du marché.</w:t>
      </w:r>
    </w:p>
    <w:p w:rsidR="00A615E5" w:rsidRPr="002F5C44" w:rsidRDefault="00A615E5">
      <w:pPr>
        <w:pStyle w:val="titre4"/>
        <w:numPr>
          <w:ilvl w:val="3"/>
          <w:numId w:val="8"/>
        </w:numPr>
        <w:rPr>
          <w:rFonts w:ascii="Arial" w:hAnsi="Arial" w:cs="Arial"/>
        </w:rPr>
      </w:pPr>
      <w:r w:rsidRPr="002F5C44">
        <w:rPr>
          <w:rFonts w:ascii="Arial" w:hAnsi="Arial" w:cs="Arial"/>
        </w:rPr>
        <w:t>Effet de la résiliation</w:t>
      </w:r>
    </w:p>
    <w:p w:rsidR="00A615E5" w:rsidRPr="00167AF1" w:rsidRDefault="00A615E5">
      <w:pPr>
        <w:jc w:val="both"/>
        <w:rPr>
          <w:rFonts w:ascii="Arial" w:hAnsi="Arial" w:cs="Arial"/>
        </w:rPr>
      </w:pPr>
      <w:r w:rsidRPr="002F5C44">
        <w:rPr>
          <w:rFonts w:ascii="Arial" w:hAnsi="Arial" w:cs="Arial"/>
        </w:rPr>
        <w:t>Les commandes reçues par le titulaire avant la date d'effet de la résiliation du marché seront</w:t>
      </w:r>
      <w:r w:rsidRPr="00167AF1">
        <w:rPr>
          <w:rFonts w:ascii="Arial" w:hAnsi="Arial" w:cs="Arial"/>
        </w:rPr>
        <w:t xml:space="preserve"> honorées, quelles que soient les dates de livraison effectives.</w:t>
      </w:r>
    </w:p>
    <w:p w:rsidR="00A615E5" w:rsidRDefault="00A615E5">
      <w:pPr>
        <w:jc w:val="both"/>
        <w:rPr>
          <w:rFonts w:ascii="Arial" w:hAnsi="Arial" w:cs="Arial"/>
        </w:rPr>
      </w:pPr>
    </w:p>
    <w:p w:rsidR="00A615E5" w:rsidRDefault="00A615E5" w:rsidP="002F5C44">
      <w:pPr>
        <w:jc w:val="both"/>
        <w:rPr>
          <w:rFonts w:ascii="Arial" w:hAnsi="Arial" w:cs="Arial"/>
        </w:rPr>
      </w:pPr>
      <w:r w:rsidRPr="00167AF1">
        <w:rPr>
          <w:rFonts w:ascii="Arial" w:hAnsi="Arial" w:cs="Arial"/>
        </w:rPr>
        <w:t>La résiliation met fin aux relations contractuelles à compter de la date fixée dans la décision de résiliation, ou bien de la notification de la décision si celle-ci ne précise pas sa date d’effet.En outre, la personne publique  pourra demander au titulaire réparation des préjudices qu’il a subi du fait de la résiliation.</w:t>
      </w:r>
      <w:bookmarkStart w:id="38" w:name="__RefHeading___Toc195769696"/>
      <w:bookmarkEnd w:id="38"/>
    </w:p>
    <w:p w:rsidR="00A615E5" w:rsidRDefault="00A615E5" w:rsidP="002F5C44">
      <w:pPr>
        <w:jc w:val="both"/>
        <w:rPr>
          <w:rFonts w:ascii="Arial" w:hAnsi="Arial" w:cs="Arial"/>
        </w:rPr>
      </w:pPr>
    </w:p>
    <w:p w:rsidR="00A615E5" w:rsidRPr="002F5C44" w:rsidRDefault="00A615E5" w:rsidP="009D7674">
      <w:pPr>
        <w:tabs>
          <w:tab w:val="left" w:pos="1843"/>
        </w:tabs>
        <w:ind w:left="708" w:firstLine="708"/>
        <w:jc w:val="both"/>
        <w:rPr>
          <w:rFonts w:ascii="Arial" w:hAnsi="Arial" w:cs="Arial"/>
        </w:rPr>
      </w:pPr>
      <w:r>
        <w:rPr>
          <w:rFonts w:ascii="Arial" w:hAnsi="Arial" w:cs="Arial"/>
        </w:rPr>
        <w:t>4.</w:t>
      </w:r>
      <w:r>
        <w:rPr>
          <w:rFonts w:ascii="Arial" w:hAnsi="Arial" w:cs="Arial"/>
        </w:rPr>
        <w:tab/>
      </w:r>
      <w:r w:rsidRPr="002F5C44">
        <w:rPr>
          <w:rFonts w:ascii="Arial" w:hAnsi="Arial" w:cs="Arial"/>
        </w:rPr>
        <w:t>Règlement des différends et des litiges</w:t>
      </w:r>
    </w:p>
    <w:p w:rsidR="00A615E5" w:rsidRPr="00167AF1" w:rsidRDefault="00A615E5">
      <w:pPr>
        <w:pStyle w:val="Style1"/>
        <w:rPr>
          <w:rFonts w:ascii="Arial" w:hAnsi="Arial" w:cs="Arial"/>
        </w:rPr>
      </w:pPr>
      <w:r w:rsidRPr="00167AF1">
        <w:rPr>
          <w:rFonts w:ascii="Arial" w:hAnsi="Arial" w:cs="Arial"/>
        </w:rPr>
        <w:t>Les parties tenteront d’abord de régler les éventuels différends et litiges, nés entre le titulaire et la personne publique contractante, par une procédure gracieuse.</w:t>
      </w:r>
    </w:p>
    <w:p w:rsidR="00A615E5" w:rsidRPr="00167AF1" w:rsidRDefault="00A615E5">
      <w:pPr>
        <w:jc w:val="both"/>
        <w:rPr>
          <w:rFonts w:ascii="Arial" w:hAnsi="Arial" w:cs="Arial"/>
        </w:rPr>
      </w:pPr>
    </w:p>
    <w:p w:rsidR="00A615E5" w:rsidRPr="00167AF1" w:rsidRDefault="00A615E5">
      <w:pPr>
        <w:jc w:val="both"/>
        <w:rPr>
          <w:rFonts w:ascii="Arial" w:hAnsi="Arial" w:cs="Arial"/>
        </w:rPr>
      </w:pPr>
      <w:r w:rsidRPr="00167AF1">
        <w:rPr>
          <w:rFonts w:ascii="Arial" w:hAnsi="Arial" w:cs="Arial"/>
        </w:rPr>
        <w:t>En cas de désignation d'un expert, les frais d'expertise sont à la charge de la partie à l'égard de laquelle les résultats de l'expertise sont en défaveur.</w:t>
      </w:r>
    </w:p>
    <w:p w:rsidR="00A615E5" w:rsidRPr="00167AF1" w:rsidRDefault="00A615E5">
      <w:pPr>
        <w:rPr>
          <w:rFonts w:ascii="Arial" w:hAnsi="Arial" w:cs="Arial"/>
        </w:rPr>
      </w:pPr>
    </w:p>
    <w:p w:rsidR="00A615E5" w:rsidRPr="00167AF1" w:rsidRDefault="00A615E5">
      <w:pPr>
        <w:pStyle w:val="Heading2"/>
        <w:keepNext w:val="0"/>
        <w:tabs>
          <w:tab w:val="left" w:pos="576"/>
        </w:tabs>
        <w:spacing w:before="120" w:after="240"/>
        <w:rPr>
          <w:rFonts w:ascii="Arial" w:hAnsi="Arial" w:cs="Arial"/>
        </w:rPr>
      </w:pPr>
      <w:bookmarkStart w:id="39" w:name="__RefHeading___Toc195769697"/>
      <w:r w:rsidRPr="00167AF1">
        <w:rPr>
          <w:rFonts w:ascii="Arial" w:hAnsi="Arial" w:cs="Arial"/>
        </w:rPr>
        <w:t>Nantissement et cession de créances</w:t>
      </w:r>
      <w:bookmarkEnd w:id="39"/>
    </w:p>
    <w:p w:rsidR="00A615E5" w:rsidRPr="00167AF1" w:rsidRDefault="00A615E5">
      <w:pPr>
        <w:rPr>
          <w:rFonts w:ascii="Arial" w:hAnsi="Arial" w:cs="Arial"/>
        </w:rPr>
      </w:pPr>
      <w:r w:rsidRPr="00167AF1">
        <w:rPr>
          <w:rFonts w:ascii="Arial" w:hAnsi="Arial" w:cs="Arial"/>
        </w:rPr>
        <w:t>La personne habilitée à donner des renseignements en cas de nantissement ou de cession de créance est  le service financier de l'ENSAPLV.</w:t>
      </w:r>
    </w:p>
    <w:p w:rsidR="00A615E5" w:rsidRPr="00167AF1" w:rsidRDefault="00A615E5">
      <w:pPr>
        <w:rPr>
          <w:rFonts w:ascii="Arial" w:hAnsi="Arial" w:cs="Arial"/>
        </w:rPr>
      </w:pPr>
    </w:p>
    <w:p w:rsidR="00A615E5" w:rsidRPr="009D7674" w:rsidRDefault="00A615E5" w:rsidP="009D7674">
      <w:pPr>
        <w:pStyle w:val="Heading2"/>
        <w:keepNext w:val="0"/>
        <w:tabs>
          <w:tab w:val="left" w:pos="576"/>
        </w:tabs>
        <w:spacing w:before="120" w:after="240"/>
        <w:rPr>
          <w:rFonts w:ascii="Arial" w:hAnsi="Arial" w:cs="Arial"/>
        </w:rPr>
      </w:pPr>
      <w:bookmarkStart w:id="40" w:name="__RefHeading___Toc195769698"/>
      <w:bookmarkEnd w:id="40"/>
      <w:r w:rsidRPr="00167AF1">
        <w:rPr>
          <w:rFonts w:ascii="Arial" w:hAnsi="Arial" w:cs="Arial"/>
        </w:rPr>
        <w:t>Dispositions diverses</w:t>
      </w:r>
    </w:p>
    <w:p w:rsidR="00A615E5" w:rsidRPr="00167AF1" w:rsidRDefault="00A615E5">
      <w:pPr>
        <w:pStyle w:val="Heading3"/>
        <w:rPr>
          <w:rFonts w:ascii="Arial" w:hAnsi="Arial" w:cs="Arial"/>
        </w:rPr>
      </w:pPr>
      <w:bookmarkStart w:id="41" w:name="__RefHeading___Toc195769699"/>
      <w:bookmarkEnd w:id="41"/>
      <w:r w:rsidRPr="00167AF1">
        <w:rPr>
          <w:rFonts w:ascii="Arial" w:hAnsi="Arial" w:cs="Arial"/>
        </w:rPr>
        <w:t>Non validité partielle</w:t>
      </w:r>
    </w:p>
    <w:p w:rsidR="00A615E5" w:rsidRPr="00167AF1" w:rsidRDefault="00A615E5">
      <w:pPr>
        <w:pStyle w:val="Style1"/>
        <w:rPr>
          <w:rFonts w:ascii="Arial" w:hAnsi="Arial" w:cs="Arial"/>
        </w:rPr>
      </w:pPr>
      <w:r w:rsidRPr="00167AF1">
        <w:rPr>
          <w:rFonts w:ascii="Arial" w:hAnsi="Arial" w:cs="Arial"/>
        </w:rPr>
        <w:t>Si une ou plusieurs stipulations des présents marchés sont tenues pour non valides ou déclarées telles en application d'une Loi, d'un règlement ou à la suite d'une décision définitive d'une juridiction compétente, les autres stipulations garderont toute leur force et leur portée, étant précisé que les parties pourront d'un commun accord, convenir de remplacer la ou les stipulations invalidées.</w:t>
      </w:r>
    </w:p>
    <w:p w:rsidR="00A615E5" w:rsidRPr="00167AF1" w:rsidRDefault="00A615E5">
      <w:pPr>
        <w:rPr>
          <w:rFonts w:ascii="Arial" w:hAnsi="Arial" w:cs="Arial"/>
        </w:rPr>
      </w:pPr>
    </w:p>
    <w:p w:rsidR="00A615E5" w:rsidRPr="00167AF1" w:rsidRDefault="00A615E5">
      <w:pPr>
        <w:pStyle w:val="Heading3"/>
        <w:rPr>
          <w:rFonts w:ascii="Arial" w:hAnsi="Arial" w:cs="Arial"/>
        </w:rPr>
      </w:pPr>
      <w:bookmarkStart w:id="42" w:name="__RefHeading___Toc195769700"/>
      <w:bookmarkEnd w:id="42"/>
      <w:r w:rsidRPr="00167AF1">
        <w:rPr>
          <w:rFonts w:ascii="Arial" w:hAnsi="Arial" w:cs="Arial"/>
        </w:rPr>
        <w:t>Langues</w:t>
      </w:r>
    </w:p>
    <w:p w:rsidR="00A615E5" w:rsidRPr="00167AF1" w:rsidRDefault="00A615E5">
      <w:pPr>
        <w:rPr>
          <w:rFonts w:ascii="Arial" w:hAnsi="Arial" w:cs="Arial"/>
        </w:rPr>
      </w:pPr>
      <w:r w:rsidRPr="00167AF1">
        <w:rPr>
          <w:rFonts w:ascii="Arial" w:hAnsi="Arial" w:cs="Arial"/>
        </w:rPr>
        <w:t>Les correspondances relatives au marché sont rédigées en langue française.</w:t>
      </w:r>
    </w:p>
    <w:p w:rsidR="00A615E5" w:rsidRPr="00167AF1" w:rsidRDefault="00A615E5">
      <w:pPr>
        <w:rPr>
          <w:rFonts w:ascii="Arial" w:hAnsi="Arial" w:cs="Arial"/>
        </w:rPr>
      </w:pPr>
    </w:p>
    <w:p w:rsidR="00A615E5" w:rsidRPr="00167AF1" w:rsidRDefault="00A615E5">
      <w:pPr>
        <w:pStyle w:val="Heading3"/>
        <w:rPr>
          <w:rFonts w:ascii="Arial" w:hAnsi="Arial" w:cs="Arial"/>
        </w:rPr>
      </w:pPr>
      <w:bookmarkStart w:id="43" w:name="__RefHeading___Toc195769701"/>
      <w:bookmarkEnd w:id="43"/>
      <w:r w:rsidRPr="00167AF1">
        <w:rPr>
          <w:rFonts w:ascii="Arial" w:hAnsi="Arial" w:cs="Arial"/>
        </w:rPr>
        <w:t>Droit applicable</w:t>
      </w:r>
    </w:p>
    <w:p w:rsidR="00A615E5" w:rsidRPr="00167AF1" w:rsidRDefault="00A615E5">
      <w:pPr>
        <w:rPr>
          <w:rFonts w:ascii="Arial" w:hAnsi="Arial" w:cs="Arial"/>
        </w:rPr>
      </w:pPr>
      <w:r w:rsidRPr="00167AF1">
        <w:rPr>
          <w:rFonts w:ascii="Arial" w:hAnsi="Arial" w:cs="Arial"/>
        </w:rPr>
        <w:t>Le droit applicable au présent marché est le droit français.</w:t>
      </w:r>
    </w:p>
    <w:p w:rsidR="00A615E5" w:rsidRPr="00167AF1" w:rsidRDefault="00A615E5">
      <w:pPr>
        <w:rPr>
          <w:rFonts w:ascii="Arial" w:hAnsi="Arial" w:cs="Arial"/>
        </w:rPr>
      </w:pPr>
    </w:p>
    <w:p w:rsidR="00A615E5" w:rsidRPr="00167AF1" w:rsidRDefault="00A615E5">
      <w:pPr>
        <w:pStyle w:val="Heading3"/>
        <w:rPr>
          <w:rFonts w:ascii="Arial" w:hAnsi="Arial" w:cs="Arial"/>
        </w:rPr>
      </w:pPr>
      <w:bookmarkStart w:id="44" w:name="__RefHeading___Toc195769702"/>
      <w:bookmarkEnd w:id="44"/>
      <w:r w:rsidRPr="00167AF1">
        <w:rPr>
          <w:rFonts w:ascii="Arial" w:hAnsi="Arial" w:cs="Arial"/>
        </w:rPr>
        <w:t>Tribunal compétent</w:t>
      </w:r>
    </w:p>
    <w:p w:rsidR="00A615E5" w:rsidRPr="00167AF1" w:rsidRDefault="00A615E5">
      <w:pPr>
        <w:rPr>
          <w:rFonts w:ascii="Arial" w:hAnsi="Arial" w:cs="Arial"/>
        </w:rPr>
      </w:pPr>
      <w:r w:rsidRPr="00167AF1">
        <w:rPr>
          <w:rFonts w:ascii="Arial" w:hAnsi="Arial" w:cs="Arial"/>
        </w:rPr>
        <w:t>En cas de litiges entre les parties au contrat, le tribunal compétent estle Tribunal Administratif de Paris conformément à la loi n° 2001-1168 du11 décembre 2001 portant mesures urgentes de réformes à caractère économique</w:t>
      </w:r>
      <w:r>
        <w:rPr>
          <w:rFonts w:ascii="Arial" w:hAnsi="Arial" w:cs="Arial"/>
        </w:rPr>
        <w:t xml:space="preserve"> </w:t>
      </w:r>
      <w:r w:rsidRPr="00167AF1">
        <w:rPr>
          <w:rFonts w:ascii="Arial" w:hAnsi="Arial" w:cs="Arial"/>
        </w:rPr>
        <w:t>et financier (loi MURCEF).</w:t>
      </w:r>
    </w:p>
    <w:sectPr w:rsidR="00A615E5" w:rsidRPr="00167AF1" w:rsidSect="000F714D">
      <w:headerReference w:type="default" r:id="rId10"/>
      <w:footerReference w:type="default" r:id="rId11"/>
      <w:pgSz w:w="11906" w:h="16838"/>
      <w:pgMar w:top="899" w:right="1417" w:bottom="1417" w:left="1417" w:header="18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5E5" w:rsidRDefault="00A615E5">
      <w:r>
        <w:separator/>
      </w:r>
    </w:p>
  </w:endnote>
  <w:endnote w:type="continuationSeparator" w:id="1">
    <w:p w:rsidR="00A615E5" w:rsidRDefault="00A61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E5" w:rsidRDefault="00A615E5">
    <w:pPr>
      <w:pStyle w:val="Footer"/>
      <w:rPr>
        <w:rFonts w:ascii="Arial" w:hAnsi="Arial" w:cs="Arial"/>
      </w:rPr>
    </w:pPr>
  </w:p>
  <w:p w:rsidR="00A615E5" w:rsidRDefault="00A615E5" w:rsidP="004C5DE7">
    <w:pPr>
      <w:pStyle w:val="Footer"/>
      <w:pBdr>
        <w:top w:val="single" w:sz="4" w:space="1" w:color="000000"/>
      </w:pBdr>
      <w:tabs>
        <w:tab w:val="clear" w:pos="4819"/>
      </w:tabs>
      <w:rPr>
        <w:rFonts w:ascii="Times" w:hAnsi="Times" w:cs="Times"/>
        <w:sz w:val="18"/>
        <w:szCs w:val="18"/>
      </w:rPr>
    </w:pPr>
    <w:r>
      <w:rPr>
        <w:rFonts w:ascii="Times" w:hAnsi="Times" w:cs="Times"/>
        <w:sz w:val="18"/>
        <w:szCs w:val="18"/>
      </w:rPr>
      <w:t>ENSAPLV – CCAP</w:t>
    </w:r>
    <w:r>
      <w:rPr>
        <w:rFonts w:ascii="Times" w:hAnsi="Times" w:cs="Times"/>
        <w:sz w:val="18"/>
        <w:szCs w:val="18"/>
      </w:rPr>
      <w:tab/>
    </w:r>
    <w:r w:rsidRPr="00CF0E50">
      <w:rPr>
        <w:rFonts w:ascii="Times" w:hAnsi="Times" w:cs="Times"/>
        <w:sz w:val="18"/>
        <w:szCs w:val="18"/>
      </w:rPr>
      <w:t>MAPA :</w:t>
    </w:r>
    <w:r w:rsidRPr="009B4D5B">
      <w:rPr>
        <w:rFonts w:ascii="Times" w:hAnsi="Times" w:cs="Times"/>
        <w:sz w:val="18"/>
        <w:szCs w:val="18"/>
      </w:rPr>
      <w:t xml:space="preserve">Graphisme : </w:t>
    </w:r>
    <w:r>
      <w:rPr>
        <w:rFonts w:ascii="Times" w:hAnsi="Times" w:cs="Times"/>
        <w:sz w:val="18"/>
        <w:szCs w:val="18"/>
      </w:rPr>
      <w:t xml:space="preserve">photogravure, </w:t>
    </w:r>
    <w:r w:rsidRPr="00D55DE3">
      <w:rPr>
        <w:rFonts w:ascii="Times" w:hAnsi="Times" w:cs="Times"/>
        <w:sz w:val="18"/>
        <w:szCs w:val="18"/>
      </w:rPr>
      <w:t>mise en page et maquette d’ouvrages d’architecture</w:t>
    </w:r>
  </w:p>
  <w:p w:rsidR="00A615E5" w:rsidRPr="004C5DE7" w:rsidRDefault="00A615E5" w:rsidP="004C5DE7">
    <w:pPr>
      <w:pStyle w:val="Footer"/>
      <w:pBdr>
        <w:top w:val="single" w:sz="4" w:space="1" w:color="000000"/>
      </w:pBdr>
      <w:rPr>
        <w:rFonts w:ascii="Times" w:hAnsi="Times" w:cs="Times"/>
        <w:sz w:val="18"/>
        <w:szCs w:val="18"/>
      </w:rPr>
    </w:pPr>
    <w:r>
      <w:rPr>
        <w:rFonts w:ascii="Times" w:hAnsi="Times" w:cs="Times"/>
        <w:sz w:val="18"/>
        <w:szCs w:val="18"/>
      </w:rPr>
      <w:tab/>
    </w:r>
    <w:r>
      <w:rPr>
        <w:rFonts w:ascii="Times" w:hAnsi="Times" w:cs="Times"/>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r>
      <w:rPr>
        <w:rFonts w:ascii="Times" w:hAnsi="Times" w:cs="Times"/>
        <w:sz w:val="18"/>
        <w:szCs w:val="18"/>
      </w:rPr>
      <w:t xml:space="preserve"> sur </w:t>
    </w:r>
    <w:r>
      <w:rPr>
        <w:sz w:val="18"/>
        <w:szCs w:val="18"/>
      </w:rPr>
      <w:fldChar w:fldCharType="begin"/>
    </w:r>
    <w:r>
      <w:rPr>
        <w:sz w:val="18"/>
        <w:szCs w:val="18"/>
      </w:rPr>
      <w:instrText xml:space="preserve"> NUMPAGES \*Arabic </w:instrText>
    </w:r>
    <w:r>
      <w:rPr>
        <w:sz w:val="18"/>
        <w:szCs w:val="18"/>
      </w:rPr>
      <w:fldChar w:fldCharType="separate"/>
    </w:r>
    <w:r>
      <w:rPr>
        <w:noProof/>
        <w:sz w:val="18"/>
        <w:szCs w:val="18"/>
      </w:rPr>
      <w:t>10</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5E5" w:rsidRDefault="00A615E5">
      <w:r>
        <w:separator/>
      </w:r>
    </w:p>
  </w:footnote>
  <w:footnote w:type="continuationSeparator" w:id="1">
    <w:p w:rsidR="00A615E5" w:rsidRDefault="00A615E5">
      <w:r>
        <w:continuationSeparator/>
      </w:r>
    </w:p>
  </w:footnote>
  <w:footnote w:id="2">
    <w:p w:rsidR="00A615E5" w:rsidRDefault="00A615E5">
      <w:pPr>
        <w:pStyle w:val="FootnoteText"/>
      </w:pPr>
      <w:r>
        <w:rPr>
          <w:rStyle w:val="Caractresdenotedebasdepage"/>
          <w:rFonts w:ascii="Arial" w:hAnsi="Arial" w:cs="Arial"/>
        </w:rPr>
        <w:footnoteRef/>
      </w:r>
      <w:r>
        <w:tab/>
        <w:t xml:space="preserve"> Common Procurement Vocabulary </w:t>
      </w:r>
      <w:hyperlink r:id="rId1" w:history="1">
        <w:r>
          <w:rPr>
            <w:rStyle w:val="Hyperlink"/>
          </w:rPr>
          <w:t>http://www.publictendering.com/pdf/Codes_CPV_Francais.pdf</w:t>
        </w:r>
      </w:hyperlink>
    </w:p>
    <w:p w:rsidR="00A615E5" w:rsidRDefault="00A615E5">
      <w:pPr>
        <w:pStyle w:val="FootnoteText"/>
      </w:pPr>
    </w:p>
  </w:footnote>
  <w:footnote w:id="3">
    <w:p w:rsidR="00A615E5" w:rsidRDefault="00A615E5">
      <w:pPr>
        <w:pStyle w:val="FootnoteText"/>
      </w:pPr>
      <w:r>
        <w:rPr>
          <w:rStyle w:val="Caractresdenotedebasdepage"/>
          <w:rFonts w:ascii="Arial" w:hAnsi="Arial" w:cs="Arial"/>
        </w:rPr>
        <w:footnoteRef/>
      </w:r>
      <w:r>
        <w:tab/>
        <w:t xml:space="preserve"> Article 28-1 du CCAG-FCS</w:t>
      </w:r>
    </w:p>
    <w:p w:rsidR="00A615E5" w:rsidRDefault="00A615E5">
      <w:pPr>
        <w:pStyle w:val="FootnoteText"/>
      </w:pPr>
    </w:p>
    <w:p w:rsidR="00A615E5" w:rsidRDefault="00A615E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E5" w:rsidRDefault="00A615E5">
    <w:pPr>
      <w:pStyle w:val="Header"/>
      <w:jc w:val="center"/>
      <w:rPr>
        <w:rFonts w:ascii="Times" w:hAnsi="Times" w:cs="Times"/>
        <w:b/>
        <w:bCs/>
        <w:spacing w:val="50"/>
        <w:kern w:val="1"/>
        <w:sz w:val="22"/>
        <w:szCs w:val="22"/>
      </w:rPr>
    </w:pPr>
  </w:p>
  <w:p w:rsidR="00A615E5" w:rsidRDefault="00A615E5">
    <w:pPr>
      <w:pStyle w:val="Header"/>
      <w:jc w:val="center"/>
    </w:pPr>
    <w:r>
      <w:rPr>
        <w:rFonts w:ascii="Times" w:hAnsi="Times" w:cs="Times"/>
        <w:b/>
        <w:bCs/>
        <w:spacing w:val="50"/>
        <w:kern w:val="1"/>
        <w:sz w:val="22"/>
        <w:szCs w:val="22"/>
      </w:rPr>
      <w:t>École Nationale Supérieure d’Architecture de Paris la Villette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Article %1 -"/>
      <w:lvlJc w:val="left"/>
      <w:pPr>
        <w:tabs>
          <w:tab w:val="num" w:pos="0"/>
        </w:tabs>
      </w:pPr>
    </w:lvl>
    <w:lvl w:ilvl="1">
      <w:start w:val="1"/>
      <w:numFmt w:val="decimal"/>
      <w:suff w:val="space"/>
      <w:lvlText w:val="%1.%2 -"/>
      <w:lvlJc w:val="left"/>
      <w:pPr>
        <w:tabs>
          <w:tab w:val="num" w:pos="0"/>
        </w:tabs>
      </w:pPr>
    </w:lvl>
    <w:lvl w:ilvl="2">
      <w:start w:val="1"/>
      <w:numFmt w:val="decimal"/>
      <w:suff w:val="space"/>
      <w:lvlText w:val="%1.%2.%3 - "/>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Wingdings" w:hAnsi="Wingdings" w:cs="Wingdings" w:hint="default"/>
        <w:color w:val="000000"/>
      </w:rPr>
    </w:lvl>
  </w:abstractNum>
  <w:abstractNum w:abstractNumId="2">
    <w:nsid w:val="00000003"/>
    <w:multiLevelType w:val="singleLevel"/>
    <w:tmpl w:val="00000003"/>
    <w:name w:val="WW8Num5"/>
    <w:lvl w:ilvl="0">
      <w:start w:val="1"/>
      <w:numFmt w:val="bullet"/>
      <w:lvlText w:val=""/>
      <w:lvlJc w:val="left"/>
      <w:pPr>
        <w:tabs>
          <w:tab w:val="num" w:pos="2136"/>
        </w:tabs>
        <w:ind w:left="2136" w:hanging="360"/>
      </w:pPr>
      <w:rPr>
        <w:rFonts w:ascii="Wingdings" w:hAnsi="Wingdings" w:cs="Wingdings" w:hint="default"/>
      </w:rPr>
    </w:lvl>
  </w:abstractNum>
  <w:abstractNum w:abstractNumId="3">
    <w:nsid w:val="00000004"/>
    <w:multiLevelType w:val="singleLevel"/>
    <w:tmpl w:val="00000004"/>
    <w:name w:val="WW8Num6"/>
    <w:lvl w:ilvl="0">
      <w:start w:val="1"/>
      <w:numFmt w:val="bullet"/>
      <w:lvlText w:val=""/>
      <w:lvlJc w:val="left"/>
      <w:pPr>
        <w:tabs>
          <w:tab w:val="num" w:pos="2173"/>
        </w:tabs>
        <w:ind w:left="1926" w:hanging="113"/>
      </w:pPr>
      <w:rPr>
        <w:rFonts w:ascii="Symbol" w:hAnsi="Symbol" w:cs="Symbol" w:hint="default"/>
        <w:sz w:val="36"/>
        <w:szCs w:val="36"/>
      </w:rPr>
    </w:lvl>
  </w:abstractNum>
  <w:abstractNum w:abstractNumId="4">
    <w:nsid w:val="00000005"/>
    <w:multiLevelType w:val="singleLevel"/>
    <w:tmpl w:val="00000005"/>
    <w:name w:val="WW8Num7"/>
    <w:lvl w:ilvl="0">
      <w:start w:val="1"/>
      <w:numFmt w:val="bullet"/>
      <w:lvlText w:val=""/>
      <w:lvlJc w:val="left"/>
      <w:pPr>
        <w:tabs>
          <w:tab w:val="num" w:pos="2136"/>
        </w:tabs>
        <w:ind w:left="2136" w:hanging="360"/>
      </w:pPr>
      <w:rPr>
        <w:rFonts w:ascii="Wingdings" w:hAnsi="Wingdings" w:cs="Wingdings" w:hint="default"/>
      </w:rPr>
    </w:lvl>
  </w:abstractNum>
  <w:abstractNum w:abstractNumId="5">
    <w:nsid w:val="00000006"/>
    <w:multiLevelType w:val="singleLevel"/>
    <w:tmpl w:val="00000006"/>
    <w:name w:val="WW8Num8"/>
    <w:lvl w:ilvl="0">
      <w:start w:val="1"/>
      <w:numFmt w:val="bullet"/>
      <w:lvlText w:val=""/>
      <w:lvlJc w:val="left"/>
      <w:pPr>
        <w:tabs>
          <w:tab w:val="num" w:pos="2173"/>
        </w:tabs>
        <w:ind w:left="1926" w:hanging="113"/>
      </w:pPr>
      <w:rPr>
        <w:rFonts w:ascii="Symbol" w:hAnsi="Symbol" w:cs="Symbol" w:hint="default"/>
        <w:kern w:val="1"/>
        <w:sz w:val="36"/>
        <w:szCs w:val="36"/>
      </w:rPr>
    </w:lvl>
  </w:abstractNum>
  <w:abstractNum w:abstractNumId="6">
    <w:nsid w:val="00000007"/>
    <w:multiLevelType w:val="singleLevel"/>
    <w:tmpl w:val="00000007"/>
    <w:name w:val="WW8Num9"/>
    <w:lvl w:ilvl="0">
      <w:start w:val="1"/>
      <w:numFmt w:val="bullet"/>
      <w:lvlText w:val=""/>
      <w:lvlJc w:val="left"/>
      <w:pPr>
        <w:tabs>
          <w:tab w:val="num" w:pos="360"/>
        </w:tabs>
        <w:ind w:left="284" w:hanging="284"/>
      </w:pPr>
      <w:rPr>
        <w:rFonts w:ascii="Wingdings" w:hAnsi="Wingdings" w:cs="Wingdings" w:hint="default"/>
      </w:rPr>
    </w:lvl>
  </w:abstractNum>
  <w:abstractNum w:abstractNumId="7">
    <w:nsid w:val="00000008"/>
    <w:multiLevelType w:val="multilevel"/>
    <w:tmpl w:val="00000008"/>
    <w:name w:val="WW8Num10"/>
    <w:lvl w:ilvl="0">
      <w:start w:val="1"/>
      <w:numFmt w:val="bullet"/>
      <w:lvlText w:val=""/>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3B20D03"/>
    <w:multiLevelType w:val="multilevel"/>
    <w:tmpl w:val="00000008"/>
    <w:lvl w:ilvl="0">
      <w:start w:val="1"/>
      <w:numFmt w:val="bullet"/>
      <w:lvlText w:val=""/>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55A5D44"/>
    <w:multiLevelType w:val="hybridMultilevel"/>
    <w:tmpl w:val="7DCEBDF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F5E"/>
    <w:rsid w:val="00012072"/>
    <w:rsid w:val="000128B5"/>
    <w:rsid w:val="0002078B"/>
    <w:rsid w:val="00062FE2"/>
    <w:rsid w:val="00067AFE"/>
    <w:rsid w:val="000A67EE"/>
    <w:rsid w:val="000F6F5E"/>
    <w:rsid w:val="000F714D"/>
    <w:rsid w:val="00117B91"/>
    <w:rsid w:val="00134339"/>
    <w:rsid w:val="00167AF1"/>
    <w:rsid w:val="001B4A3E"/>
    <w:rsid w:val="001F41AC"/>
    <w:rsid w:val="002D17ED"/>
    <w:rsid w:val="002F5C44"/>
    <w:rsid w:val="00374321"/>
    <w:rsid w:val="00435179"/>
    <w:rsid w:val="004B064E"/>
    <w:rsid w:val="004C5DE7"/>
    <w:rsid w:val="004E4FFE"/>
    <w:rsid w:val="00587DA6"/>
    <w:rsid w:val="00611947"/>
    <w:rsid w:val="006201EA"/>
    <w:rsid w:val="006249AD"/>
    <w:rsid w:val="006A2F95"/>
    <w:rsid w:val="006C05DB"/>
    <w:rsid w:val="007742E8"/>
    <w:rsid w:val="007A34A1"/>
    <w:rsid w:val="007E2BDA"/>
    <w:rsid w:val="008240B0"/>
    <w:rsid w:val="008B0D96"/>
    <w:rsid w:val="00941037"/>
    <w:rsid w:val="00944F6F"/>
    <w:rsid w:val="0094522F"/>
    <w:rsid w:val="009A1DAD"/>
    <w:rsid w:val="009B4D5B"/>
    <w:rsid w:val="009C5AA6"/>
    <w:rsid w:val="009D7674"/>
    <w:rsid w:val="009E4722"/>
    <w:rsid w:val="009E6AC6"/>
    <w:rsid w:val="00A00DC9"/>
    <w:rsid w:val="00A33D28"/>
    <w:rsid w:val="00A615E5"/>
    <w:rsid w:val="00BE7E22"/>
    <w:rsid w:val="00C270AA"/>
    <w:rsid w:val="00C31D93"/>
    <w:rsid w:val="00C6609B"/>
    <w:rsid w:val="00CF0E50"/>
    <w:rsid w:val="00D171B0"/>
    <w:rsid w:val="00D304EA"/>
    <w:rsid w:val="00D55DE3"/>
    <w:rsid w:val="00D919E5"/>
    <w:rsid w:val="00DC7398"/>
    <w:rsid w:val="00DC7C3D"/>
    <w:rsid w:val="00DE3BEE"/>
    <w:rsid w:val="00E83013"/>
    <w:rsid w:val="00E974C3"/>
    <w:rsid w:val="00F0760F"/>
    <w:rsid w:val="00F11480"/>
    <w:rsid w:val="00FA1F88"/>
    <w:rsid w:val="00FA588C"/>
    <w:rsid w:val="00FE08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F714D"/>
    <w:pPr>
      <w:suppressAutoHyphens/>
    </w:pPr>
    <w:rPr>
      <w:sz w:val="20"/>
      <w:szCs w:val="20"/>
    </w:rPr>
  </w:style>
  <w:style w:type="paragraph" w:styleId="Heading1">
    <w:name w:val="heading 1"/>
    <w:basedOn w:val="Normal"/>
    <w:next w:val="Normal"/>
    <w:link w:val="Heading1Char"/>
    <w:uiPriority w:val="99"/>
    <w:qFormat/>
    <w:rsid w:val="000F714D"/>
    <w:pPr>
      <w:keepNext/>
      <w:numPr>
        <w:numId w:val="1"/>
      </w:numPr>
      <w:pBdr>
        <w:bottom w:val="single" w:sz="4" w:space="1" w:color="000000"/>
      </w:pBdr>
      <w:spacing w:before="240" w:after="60"/>
      <w:outlineLvl w:val="0"/>
    </w:pPr>
  </w:style>
  <w:style w:type="paragraph" w:styleId="Heading2">
    <w:name w:val="heading 2"/>
    <w:basedOn w:val="Normal"/>
    <w:next w:val="Normal"/>
    <w:link w:val="Heading2Char"/>
    <w:uiPriority w:val="99"/>
    <w:qFormat/>
    <w:rsid w:val="000F714D"/>
    <w:pPr>
      <w:keepNext/>
      <w:numPr>
        <w:ilvl w:val="1"/>
        <w:numId w:val="1"/>
      </w:numPr>
      <w:spacing w:before="240" w:after="60"/>
      <w:outlineLvl w:val="1"/>
    </w:pPr>
  </w:style>
  <w:style w:type="paragraph" w:styleId="Heading3">
    <w:name w:val="heading 3"/>
    <w:basedOn w:val="Normal"/>
    <w:next w:val="Normal"/>
    <w:link w:val="Heading3Char"/>
    <w:uiPriority w:val="99"/>
    <w:qFormat/>
    <w:rsid w:val="000F714D"/>
    <w:pPr>
      <w:keepNext/>
      <w:numPr>
        <w:ilvl w:val="2"/>
        <w:numId w:val="1"/>
      </w:numPr>
      <w:spacing w:before="240" w:after="60"/>
      <w:outlineLvl w:val="2"/>
    </w:pPr>
  </w:style>
  <w:style w:type="paragraph" w:styleId="Heading4">
    <w:name w:val="heading 4"/>
    <w:basedOn w:val="Normal"/>
    <w:next w:val="Normal"/>
    <w:link w:val="Heading4Char"/>
    <w:uiPriority w:val="99"/>
    <w:qFormat/>
    <w:rsid w:val="000F714D"/>
    <w:pPr>
      <w:keepNext/>
      <w:spacing w:before="240" w:after="60"/>
      <w:outlineLvl w:val="3"/>
    </w:pPr>
  </w:style>
  <w:style w:type="paragraph" w:styleId="Heading5">
    <w:name w:val="heading 5"/>
    <w:basedOn w:val="Normal"/>
    <w:next w:val="Normal"/>
    <w:link w:val="Heading5Char"/>
    <w:uiPriority w:val="99"/>
    <w:qFormat/>
    <w:rsid w:val="000F714D"/>
    <w:pPr>
      <w:spacing w:before="240" w:after="60"/>
      <w:outlineLvl w:val="4"/>
    </w:pPr>
  </w:style>
  <w:style w:type="paragraph" w:styleId="Heading6">
    <w:name w:val="heading 6"/>
    <w:basedOn w:val="Normal"/>
    <w:next w:val="Normal"/>
    <w:link w:val="Heading6Char"/>
    <w:uiPriority w:val="99"/>
    <w:qFormat/>
    <w:rsid w:val="000F714D"/>
    <w:pPr>
      <w:spacing w:before="240" w:after="60"/>
      <w:outlineLvl w:val="5"/>
    </w:pPr>
  </w:style>
  <w:style w:type="paragraph" w:styleId="Heading7">
    <w:name w:val="heading 7"/>
    <w:basedOn w:val="Normal"/>
    <w:next w:val="Normal"/>
    <w:link w:val="Heading7Char"/>
    <w:uiPriority w:val="99"/>
    <w:qFormat/>
    <w:rsid w:val="000F714D"/>
    <w:pPr>
      <w:spacing w:before="240" w:after="60"/>
      <w:outlineLvl w:val="6"/>
    </w:pPr>
  </w:style>
  <w:style w:type="paragraph" w:styleId="Heading8">
    <w:name w:val="heading 8"/>
    <w:basedOn w:val="Normal"/>
    <w:next w:val="Normal"/>
    <w:link w:val="Heading8Char"/>
    <w:uiPriority w:val="99"/>
    <w:qFormat/>
    <w:rsid w:val="000F714D"/>
    <w:pPr>
      <w:spacing w:before="240" w:after="60"/>
      <w:outlineLvl w:val="7"/>
    </w:pPr>
    <w:rPr>
      <w:i/>
      <w:iCs/>
    </w:rPr>
  </w:style>
  <w:style w:type="paragraph" w:styleId="Heading9">
    <w:name w:val="heading 9"/>
    <w:basedOn w:val="Normal"/>
    <w:next w:val="Normal"/>
    <w:link w:val="Heading9Char"/>
    <w:uiPriority w:val="99"/>
    <w:qFormat/>
    <w:rsid w:val="000F714D"/>
    <w:pPr>
      <w:spacing w:before="240" w:after="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F9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A2F9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6A2F9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A2F9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6A2F9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6A2F95"/>
    <w:rPr>
      <w:rFonts w:ascii="Calibri" w:hAnsi="Calibri" w:cs="Calibri"/>
      <w:b/>
      <w:bCs/>
    </w:rPr>
  </w:style>
  <w:style w:type="character" w:customStyle="1" w:styleId="Heading7Char">
    <w:name w:val="Heading 7 Char"/>
    <w:basedOn w:val="DefaultParagraphFont"/>
    <w:link w:val="Heading7"/>
    <w:uiPriority w:val="99"/>
    <w:semiHidden/>
    <w:locked/>
    <w:rsid w:val="006A2F95"/>
    <w:rPr>
      <w:rFonts w:ascii="Calibri" w:hAnsi="Calibri" w:cs="Calibri"/>
      <w:sz w:val="24"/>
      <w:szCs w:val="24"/>
    </w:rPr>
  </w:style>
  <w:style w:type="character" w:customStyle="1" w:styleId="Heading8Char">
    <w:name w:val="Heading 8 Char"/>
    <w:basedOn w:val="DefaultParagraphFont"/>
    <w:link w:val="Heading8"/>
    <w:uiPriority w:val="99"/>
    <w:semiHidden/>
    <w:locked/>
    <w:rsid w:val="006A2F9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6A2F95"/>
    <w:rPr>
      <w:rFonts w:ascii="Cambria" w:hAnsi="Cambria" w:cs="Cambria"/>
    </w:rPr>
  </w:style>
  <w:style w:type="character" w:customStyle="1" w:styleId="WW8Num1z0">
    <w:name w:val="WW8Num1z0"/>
    <w:uiPriority w:val="99"/>
    <w:rsid w:val="000F714D"/>
  </w:style>
  <w:style w:type="character" w:customStyle="1" w:styleId="WW8Num1z1">
    <w:name w:val="WW8Num1z1"/>
    <w:uiPriority w:val="99"/>
    <w:rsid w:val="000F714D"/>
  </w:style>
  <w:style w:type="character" w:customStyle="1" w:styleId="WW8Num1z2">
    <w:name w:val="WW8Num1z2"/>
    <w:uiPriority w:val="99"/>
    <w:rsid w:val="000F714D"/>
  </w:style>
  <w:style w:type="character" w:customStyle="1" w:styleId="WW8Num1z3">
    <w:name w:val="WW8Num1z3"/>
    <w:uiPriority w:val="99"/>
    <w:rsid w:val="000F714D"/>
  </w:style>
  <w:style w:type="character" w:customStyle="1" w:styleId="WW8Num1z4">
    <w:name w:val="WW8Num1z4"/>
    <w:uiPriority w:val="99"/>
    <w:rsid w:val="000F714D"/>
  </w:style>
  <w:style w:type="character" w:customStyle="1" w:styleId="WW8Num1z5">
    <w:name w:val="WW8Num1z5"/>
    <w:uiPriority w:val="99"/>
    <w:rsid w:val="000F714D"/>
  </w:style>
  <w:style w:type="character" w:customStyle="1" w:styleId="WW8Num1z6">
    <w:name w:val="WW8Num1z6"/>
    <w:uiPriority w:val="99"/>
    <w:rsid w:val="000F714D"/>
  </w:style>
  <w:style w:type="character" w:customStyle="1" w:styleId="WW8Num1z7">
    <w:name w:val="WW8Num1z7"/>
    <w:uiPriority w:val="99"/>
    <w:rsid w:val="000F714D"/>
  </w:style>
  <w:style w:type="character" w:customStyle="1" w:styleId="WW8Num1z8">
    <w:name w:val="WW8Num1z8"/>
    <w:uiPriority w:val="99"/>
    <w:rsid w:val="000F714D"/>
  </w:style>
  <w:style w:type="character" w:customStyle="1" w:styleId="WW8Num2z0">
    <w:name w:val="WW8Num2z0"/>
    <w:uiPriority w:val="99"/>
    <w:rsid w:val="000F714D"/>
  </w:style>
  <w:style w:type="character" w:customStyle="1" w:styleId="WW8Num2z1">
    <w:name w:val="WW8Num2z1"/>
    <w:uiPriority w:val="99"/>
    <w:rsid w:val="000F714D"/>
  </w:style>
  <w:style w:type="character" w:customStyle="1" w:styleId="WW8Num2z2">
    <w:name w:val="WW8Num2z2"/>
    <w:uiPriority w:val="99"/>
    <w:rsid w:val="000F714D"/>
  </w:style>
  <w:style w:type="character" w:customStyle="1" w:styleId="WW8Num2z3">
    <w:name w:val="WW8Num2z3"/>
    <w:uiPriority w:val="99"/>
    <w:rsid w:val="000F714D"/>
  </w:style>
  <w:style w:type="character" w:customStyle="1" w:styleId="WW8Num2z4">
    <w:name w:val="WW8Num2z4"/>
    <w:uiPriority w:val="99"/>
    <w:rsid w:val="000F714D"/>
  </w:style>
  <w:style w:type="character" w:customStyle="1" w:styleId="WW8Num2z5">
    <w:name w:val="WW8Num2z5"/>
    <w:uiPriority w:val="99"/>
    <w:rsid w:val="000F714D"/>
  </w:style>
  <w:style w:type="character" w:customStyle="1" w:styleId="WW8Num2z6">
    <w:name w:val="WW8Num2z6"/>
    <w:uiPriority w:val="99"/>
    <w:rsid w:val="000F714D"/>
  </w:style>
  <w:style w:type="character" w:customStyle="1" w:styleId="WW8Num2z7">
    <w:name w:val="WW8Num2z7"/>
    <w:uiPriority w:val="99"/>
    <w:rsid w:val="000F714D"/>
  </w:style>
  <w:style w:type="character" w:customStyle="1" w:styleId="WW8Num2z8">
    <w:name w:val="WW8Num2z8"/>
    <w:uiPriority w:val="99"/>
    <w:rsid w:val="000F714D"/>
  </w:style>
  <w:style w:type="character" w:customStyle="1" w:styleId="WW8Num3z0">
    <w:name w:val="WW8Num3z0"/>
    <w:uiPriority w:val="99"/>
    <w:rsid w:val="000F714D"/>
  </w:style>
  <w:style w:type="character" w:customStyle="1" w:styleId="WW8Num4z0">
    <w:name w:val="WW8Num4z0"/>
    <w:uiPriority w:val="99"/>
    <w:rsid w:val="000F714D"/>
    <w:rPr>
      <w:rFonts w:ascii="Wingdings" w:hAnsi="Wingdings" w:cs="Wingdings"/>
    </w:rPr>
  </w:style>
  <w:style w:type="character" w:customStyle="1" w:styleId="WW8Num5z0">
    <w:name w:val="WW8Num5z0"/>
    <w:uiPriority w:val="99"/>
    <w:rsid w:val="000F714D"/>
    <w:rPr>
      <w:rFonts w:ascii="Wingdings" w:hAnsi="Wingdings" w:cs="Wingdings"/>
    </w:rPr>
  </w:style>
  <w:style w:type="character" w:customStyle="1" w:styleId="WW8Num6z0">
    <w:name w:val="WW8Num6z0"/>
    <w:uiPriority w:val="99"/>
    <w:rsid w:val="000F714D"/>
  </w:style>
  <w:style w:type="character" w:customStyle="1" w:styleId="WW8Num7z0">
    <w:name w:val="WW8Num7z0"/>
    <w:uiPriority w:val="99"/>
    <w:rsid w:val="000F714D"/>
    <w:rPr>
      <w:rFonts w:ascii="Symbol" w:hAnsi="Symbol" w:cs="Symbol"/>
    </w:rPr>
  </w:style>
  <w:style w:type="character" w:customStyle="1" w:styleId="WW8Num8z0">
    <w:name w:val="WW8Num8z0"/>
    <w:uiPriority w:val="99"/>
    <w:rsid w:val="000F714D"/>
  </w:style>
  <w:style w:type="character" w:customStyle="1" w:styleId="WW8Num9z0">
    <w:name w:val="WW8Num9z0"/>
    <w:uiPriority w:val="99"/>
    <w:rsid w:val="000F714D"/>
    <w:rPr>
      <w:rFonts w:ascii="Symbol" w:hAnsi="Symbol" w:cs="Symbol"/>
    </w:rPr>
  </w:style>
  <w:style w:type="character" w:customStyle="1" w:styleId="WW8Num10z0">
    <w:name w:val="WW8Num10z0"/>
    <w:uiPriority w:val="99"/>
    <w:rsid w:val="000F714D"/>
  </w:style>
  <w:style w:type="character" w:customStyle="1" w:styleId="WW8Num10z1">
    <w:name w:val="WW8Num10z1"/>
    <w:uiPriority w:val="99"/>
    <w:rsid w:val="000F714D"/>
    <w:rPr>
      <w:rFonts w:ascii="Courier New" w:hAnsi="Courier New" w:cs="Courier New"/>
    </w:rPr>
  </w:style>
  <w:style w:type="character" w:customStyle="1" w:styleId="WW8Num10z2">
    <w:name w:val="WW8Num10z2"/>
    <w:uiPriority w:val="99"/>
    <w:rsid w:val="000F714D"/>
    <w:rPr>
      <w:rFonts w:ascii="Wingdings" w:hAnsi="Wingdings" w:cs="Wingdings"/>
    </w:rPr>
  </w:style>
  <w:style w:type="character" w:customStyle="1" w:styleId="WW8Num10z3">
    <w:name w:val="WW8Num10z3"/>
    <w:uiPriority w:val="99"/>
    <w:rsid w:val="000F714D"/>
    <w:rPr>
      <w:rFonts w:ascii="Symbol" w:hAnsi="Symbol" w:cs="Symbol"/>
    </w:rPr>
  </w:style>
  <w:style w:type="character" w:customStyle="1" w:styleId="WW8Num10z4">
    <w:name w:val="WW8Num10z4"/>
    <w:uiPriority w:val="99"/>
    <w:rsid w:val="000F714D"/>
  </w:style>
  <w:style w:type="character" w:customStyle="1" w:styleId="WW8Num10z5">
    <w:name w:val="WW8Num10z5"/>
    <w:uiPriority w:val="99"/>
    <w:rsid w:val="000F714D"/>
  </w:style>
  <w:style w:type="character" w:customStyle="1" w:styleId="WW8Num10z6">
    <w:name w:val="WW8Num10z6"/>
    <w:uiPriority w:val="99"/>
    <w:rsid w:val="000F714D"/>
  </w:style>
  <w:style w:type="character" w:customStyle="1" w:styleId="WW8Num10z7">
    <w:name w:val="WW8Num10z7"/>
    <w:uiPriority w:val="99"/>
    <w:rsid w:val="000F714D"/>
  </w:style>
  <w:style w:type="character" w:customStyle="1" w:styleId="WW8Num10z8">
    <w:name w:val="WW8Num10z8"/>
    <w:uiPriority w:val="99"/>
    <w:rsid w:val="000F714D"/>
  </w:style>
  <w:style w:type="character" w:customStyle="1" w:styleId="WW8Num11z0">
    <w:name w:val="WW8Num11z0"/>
    <w:uiPriority w:val="99"/>
    <w:rsid w:val="000F714D"/>
    <w:rPr>
      <w:rFonts w:ascii="Wingdings" w:hAnsi="Wingdings" w:cs="Wingdings"/>
    </w:rPr>
  </w:style>
  <w:style w:type="character" w:customStyle="1" w:styleId="WW8Num11z1">
    <w:name w:val="WW8Num11z1"/>
    <w:uiPriority w:val="99"/>
    <w:rsid w:val="000F714D"/>
    <w:rPr>
      <w:rFonts w:ascii="Courier New" w:hAnsi="Courier New" w:cs="Courier New"/>
    </w:rPr>
  </w:style>
  <w:style w:type="character" w:customStyle="1" w:styleId="WW8Num11z2">
    <w:name w:val="WW8Num11z2"/>
    <w:uiPriority w:val="99"/>
    <w:rsid w:val="000F714D"/>
  </w:style>
  <w:style w:type="character" w:customStyle="1" w:styleId="WW8Num11z3">
    <w:name w:val="WW8Num11z3"/>
    <w:uiPriority w:val="99"/>
    <w:rsid w:val="000F714D"/>
    <w:rPr>
      <w:rFonts w:ascii="Symbol" w:hAnsi="Symbol" w:cs="Symbol"/>
    </w:rPr>
  </w:style>
  <w:style w:type="character" w:customStyle="1" w:styleId="WW8Num11z4">
    <w:name w:val="WW8Num11z4"/>
    <w:uiPriority w:val="99"/>
    <w:rsid w:val="000F714D"/>
  </w:style>
  <w:style w:type="character" w:customStyle="1" w:styleId="WW8Num11z5">
    <w:name w:val="WW8Num11z5"/>
    <w:uiPriority w:val="99"/>
    <w:rsid w:val="000F714D"/>
  </w:style>
  <w:style w:type="character" w:customStyle="1" w:styleId="WW8Num11z6">
    <w:name w:val="WW8Num11z6"/>
    <w:uiPriority w:val="99"/>
    <w:rsid w:val="000F714D"/>
  </w:style>
  <w:style w:type="character" w:customStyle="1" w:styleId="WW8Num11z7">
    <w:name w:val="WW8Num11z7"/>
    <w:uiPriority w:val="99"/>
    <w:rsid w:val="000F714D"/>
  </w:style>
  <w:style w:type="character" w:customStyle="1" w:styleId="WW8Num11z8">
    <w:name w:val="WW8Num11z8"/>
    <w:uiPriority w:val="99"/>
    <w:rsid w:val="000F714D"/>
  </w:style>
  <w:style w:type="character" w:customStyle="1" w:styleId="WW8Num3z1">
    <w:name w:val="WW8Num3z1"/>
    <w:uiPriority w:val="99"/>
    <w:rsid w:val="000F714D"/>
    <w:rPr>
      <w:rFonts w:ascii="Courier New" w:hAnsi="Courier New" w:cs="Courier New"/>
    </w:rPr>
  </w:style>
  <w:style w:type="character" w:customStyle="1" w:styleId="WW8Num3z2">
    <w:name w:val="WW8Num3z2"/>
    <w:uiPriority w:val="99"/>
    <w:rsid w:val="000F714D"/>
    <w:rPr>
      <w:rFonts w:ascii="Wingdings" w:hAnsi="Wingdings" w:cs="Wingdings"/>
    </w:rPr>
  </w:style>
  <w:style w:type="character" w:customStyle="1" w:styleId="WW8Num4z1">
    <w:name w:val="WW8Num4z1"/>
    <w:uiPriority w:val="99"/>
    <w:rsid w:val="000F714D"/>
    <w:rPr>
      <w:rFonts w:ascii="Courier New" w:hAnsi="Courier New" w:cs="Courier New"/>
    </w:rPr>
  </w:style>
  <w:style w:type="character" w:customStyle="1" w:styleId="WW8Num4z3">
    <w:name w:val="WW8Num4z3"/>
    <w:uiPriority w:val="99"/>
    <w:rsid w:val="000F714D"/>
    <w:rPr>
      <w:rFonts w:ascii="Symbol" w:hAnsi="Symbol" w:cs="Symbol"/>
    </w:rPr>
  </w:style>
  <w:style w:type="character" w:customStyle="1" w:styleId="WW8Num5z1">
    <w:name w:val="WW8Num5z1"/>
    <w:uiPriority w:val="99"/>
    <w:rsid w:val="000F714D"/>
  </w:style>
  <w:style w:type="character" w:customStyle="1" w:styleId="WW8Num5z2">
    <w:name w:val="WW8Num5z2"/>
    <w:uiPriority w:val="99"/>
    <w:rsid w:val="000F714D"/>
  </w:style>
  <w:style w:type="character" w:customStyle="1" w:styleId="WW8Num5z3">
    <w:name w:val="WW8Num5z3"/>
    <w:uiPriority w:val="99"/>
    <w:rsid w:val="000F714D"/>
    <w:rPr>
      <w:rFonts w:ascii="Symbol" w:hAnsi="Symbol" w:cs="Symbol"/>
    </w:rPr>
  </w:style>
  <w:style w:type="character" w:customStyle="1" w:styleId="WW8Num5z4">
    <w:name w:val="WW8Num5z4"/>
    <w:uiPriority w:val="99"/>
    <w:rsid w:val="000F714D"/>
    <w:rPr>
      <w:rFonts w:ascii="Courier New" w:hAnsi="Courier New" w:cs="Courier New"/>
    </w:rPr>
  </w:style>
  <w:style w:type="character" w:customStyle="1" w:styleId="WW8Num6z1">
    <w:name w:val="WW8Num6z1"/>
    <w:uiPriority w:val="99"/>
    <w:rsid w:val="000F714D"/>
    <w:rPr>
      <w:rFonts w:ascii="Courier New" w:hAnsi="Courier New" w:cs="Courier New"/>
    </w:rPr>
  </w:style>
  <w:style w:type="character" w:customStyle="1" w:styleId="WW8Num6z2">
    <w:name w:val="WW8Num6z2"/>
    <w:uiPriority w:val="99"/>
    <w:rsid w:val="000F714D"/>
    <w:rPr>
      <w:rFonts w:ascii="Wingdings" w:hAnsi="Wingdings" w:cs="Wingdings"/>
    </w:rPr>
  </w:style>
  <w:style w:type="character" w:customStyle="1" w:styleId="WW8Num6z3">
    <w:name w:val="WW8Num6z3"/>
    <w:uiPriority w:val="99"/>
    <w:rsid w:val="000F714D"/>
    <w:rPr>
      <w:rFonts w:ascii="Symbol" w:hAnsi="Symbol" w:cs="Symbol"/>
    </w:rPr>
  </w:style>
  <w:style w:type="character" w:customStyle="1" w:styleId="WW8Num7z1">
    <w:name w:val="WW8Num7z1"/>
    <w:uiPriority w:val="99"/>
    <w:rsid w:val="000F714D"/>
    <w:rPr>
      <w:rFonts w:ascii="Courier New" w:hAnsi="Courier New" w:cs="Courier New"/>
    </w:rPr>
  </w:style>
  <w:style w:type="character" w:customStyle="1" w:styleId="WW8Num7z2">
    <w:name w:val="WW8Num7z2"/>
    <w:uiPriority w:val="99"/>
    <w:rsid w:val="000F714D"/>
    <w:rPr>
      <w:rFonts w:ascii="Wingdings" w:hAnsi="Wingdings" w:cs="Wingdings"/>
    </w:rPr>
  </w:style>
  <w:style w:type="character" w:customStyle="1" w:styleId="WW8Num8z1">
    <w:name w:val="WW8Num8z1"/>
    <w:uiPriority w:val="99"/>
    <w:rsid w:val="000F714D"/>
    <w:rPr>
      <w:rFonts w:ascii="Courier New" w:hAnsi="Courier New" w:cs="Courier New"/>
    </w:rPr>
  </w:style>
  <w:style w:type="character" w:customStyle="1" w:styleId="WW8Num8z2">
    <w:name w:val="WW8Num8z2"/>
    <w:uiPriority w:val="99"/>
    <w:rsid w:val="000F714D"/>
    <w:rPr>
      <w:rFonts w:ascii="Wingdings" w:hAnsi="Wingdings" w:cs="Wingdings"/>
    </w:rPr>
  </w:style>
  <w:style w:type="character" w:customStyle="1" w:styleId="WW8Num8z3">
    <w:name w:val="WW8Num8z3"/>
    <w:uiPriority w:val="99"/>
    <w:rsid w:val="000F714D"/>
    <w:rPr>
      <w:rFonts w:ascii="Symbol" w:hAnsi="Symbol" w:cs="Symbol"/>
    </w:rPr>
  </w:style>
  <w:style w:type="character" w:customStyle="1" w:styleId="WW8Num9z1">
    <w:name w:val="WW8Num9z1"/>
    <w:uiPriority w:val="99"/>
    <w:rsid w:val="000F714D"/>
    <w:rPr>
      <w:rFonts w:ascii="Courier New" w:hAnsi="Courier New" w:cs="Courier New"/>
    </w:rPr>
  </w:style>
  <w:style w:type="character" w:customStyle="1" w:styleId="WW8Num9z2">
    <w:name w:val="WW8Num9z2"/>
    <w:uiPriority w:val="99"/>
    <w:rsid w:val="000F714D"/>
    <w:rPr>
      <w:rFonts w:ascii="Wingdings" w:hAnsi="Wingdings" w:cs="Wingdings"/>
    </w:rPr>
  </w:style>
  <w:style w:type="character" w:customStyle="1" w:styleId="WW8Num12z0">
    <w:name w:val="WW8Num12z0"/>
    <w:uiPriority w:val="99"/>
    <w:rsid w:val="000F714D"/>
    <w:rPr>
      <w:rFonts w:ascii="Symbol" w:hAnsi="Symbol" w:cs="Symbol"/>
    </w:rPr>
  </w:style>
  <w:style w:type="character" w:customStyle="1" w:styleId="WW8Num12z1">
    <w:name w:val="WW8Num12z1"/>
    <w:uiPriority w:val="99"/>
    <w:rsid w:val="000F714D"/>
    <w:rPr>
      <w:rFonts w:ascii="Courier New" w:hAnsi="Courier New" w:cs="Courier New"/>
    </w:rPr>
  </w:style>
  <w:style w:type="character" w:customStyle="1" w:styleId="WW8Num12z2">
    <w:name w:val="WW8Num12z2"/>
    <w:uiPriority w:val="99"/>
    <w:rsid w:val="000F714D"/>
    <w:rPr>
      <w:rFonts w:ascii="Wingdings" w:hAnsi="Wingdings" w:cs="Wingdings"/>
    </w:rPr>
  </w:style>
  <w:style w:type="character" w:customStyle="1" w:styleId="WW8Num13z0">
    <w:name w:val="WW8Num13z0"/>
    <w:uiPriority w:val="99"/>
    <w:rsid w:val="000F714D"/>
    <w:rPr>
      <w:rFonts w:ascii="Symbol" w:hAnsi="Symbol" w:cs="Symbol"/>
    </w:rPr>
  </w:style>
  <w:style w:type="character" w:customStyle="1" w:styleId="WW8Num13z1">
    <w:name w:val="WW8Num13z1"/>
    <w:uiPriority w:val="99"/>
    <w:rsid w:val="000F714D"/>
  </w:style>
  <w:style w:type="character" w:customStyle="1" w:styleId="WW8Num13z2">
    <w:name w:val="WW8Num13z2"/>
    <w:uiPriority w:val="99"/>
    <w:rsid w:val="000F714D"/>
    <w:rPr>
      <w:rFonts w:ascii="Wingdings" w:hAnsi="Wingdings" w:cs="Wingdings"/>
    </w:rPr>
  </w:style>
  <w:style w:type="character" w:customStyle="1" w:styleId="WW8Num13z4">
    <w:name w:val="WW8Num13z4"/>
    <w:uiPriority w:val="99"/>
    <w:rsid w:val="000F714D"/>
    <w:rPr>
      <w:rFonts w:ascii="Courier New" w:hAnsi="Courier New" w:cs="Courier New"/>
    </w:rPr>
  </w:style>
  <w:style w:type="character" w:customStyle="1" w:styleId="WW8Num14z0">
    <w:name w:val="WW8Num14z0"/>
    <w:uiPriority w:val="99"/>
    <w:rsid w:val="000F714D"/>
  </w:style>
  <w:style w:type="character" w:customStyle="1" w:styleId="Policepardfaut1">
    <w:name w:val="Police par défaut1"/>
    <w:uiPriority w:val="99"/>
    <w:rsid w:val="000F714D"/>
  </w:style>
  <w:style w:type="character" w:styleId="Hyperlink">
    <w:name w:val="Hyperlink"/>
    <w:basedOn w:val="Policepardfaut1"/>
    <w:uiPriority w:val="99"/>
    <w:rsid w:val="000F714D"/>
  </w:style>
  <w:style w:type="character" w:customStyle="1" w:styleId="Caractresdenotedebasdepage">
    <w:name w:val="Caractères de note de bas de page"/>
    <w:uiPriority w:val="99"/>
    <w:rsid w:val="000F714D"/>
    <w:rPr>
      <w:vertAlign w:val="superscript"/>
    </w:rPr>
  </w:style>
  <w:style w:type="character" w:styleId="PageNumber">
    <w:name w:val="page number"/>
    <w:basedOn w:val="Policepardfaut1"/>
    <w:uiPriority w:val="99"/>
    <w:rsid w:val="000F714D"/>
  </w:style>
  <w:style w:type="character" w:styleId="FollowedHyperlink">
    <w:name w:val="FollowedHyperlink"/>
    <w:basedOn w:val="Policepardfaut1"/>
    <w:uiPriority w:val="99"/>
    <w:rsid w:val="000F714D"/>
  </w:style>
  <w:style w:type="character" w:styleId="Strong">
    <w:name w:val="Strong"/>
    <w:basedOn w:val="DefaultParagraphFont"/>
    <w:uiPriority w:val="99"/>
    <w:qFormat/>
    <w:rsid w:val="000F714D"/>
    <w:rPr>
      <w:b/>
      <w:bCs/>
    </w:rPr>
  </w:style>
  <w:style w:type="character" w:styleId="FootnoteReference">
    <w:name w:val="footnote reference"/>
    <w:basedOn w:val="DefaultParagraphFont"/>
    <w:uiPriority w:val="99"/>
    <w:semiHidden/>
    <w:rsid w:val="000F714D"/>
    <w:rPr>
      <w:vertAlign w:val="superscript"/>
    </w:rPr>
  </w:style>
  <w:style w:type="character" w:customStyle="1" w:styleId="Caractresdenotedefin">
    <w:name w:val="Caractères de note de fin"/>
    <w:uiPriority w:val="99"/>
    <w:rsid w:val="000F714D"/>
    <w:rPr>
      <w:vertAlign w:val="superscript"/>
    </w:rPr>
  </w:style>
  <w:style w:type="character" w:customStyle="1" w:styleId="WW-Caractresdenotedefin">
    <w:name w:val="WW-Caractères de note de fin"/>
    <w:uiPriority w:val="99"/>
    <w:rsid w:val="000F714D"/>
  </w:style>
  <w:style w:type="character" w:styleId="EndnoteReference">
    <w:name w:val="endnote reference"/>
    <w:basedOn w:val="DefaultParagraphFont"/>
    <w:uiPriority w:val="99"/>
    <w:semiHidden/>
    <w:rsid w:val="000F714D"/>
    <w:rPr>
      <w:vertAlign w:val="superscript"/>
    </w:rPr>
  </w:style>
  <w:style w:type="paragraph" w:customStyle="1" w:styleId="Titre1">
    <w:name w:val="Titre1"/>
    <w:basedOn w:val="Normal"/>
    <w:next w:val="BodyText"/>
    <w:uiPriority w:val="99"/>
    <w:rsid w:val="000F714D"/>
    <w:pPr>
      <w:keepNext/>
      <w:spacing w:before="240" w:after="120"/>
    </w:pPr>
  </w:style>
  <w:style w:type="paragraph" w:styleId="BodyText">
    <w:name w:val="Body Text"/>
    <w:basedOn w:val="Normal"/>
    <w:link w:val="BodyTextChar"/>
    <w:uiPriority w:val="99"/>
    <w:rsid w:val="000F714D"/>
    <w:pPr>
      <w:jc w:val="center"/>
    </w:pPr>
  </w:style>
  <w:style w:type="character" w:customStyle="1" w:styleId="BodyTextChar">
    <w:name w:val="Body Text Char"/>
    <w:basedOn w:val="DefaultParagraphFont"/>
    <w:link w:val="BodyText"/>
    <w:uiPriority w:val="99"/>
    <w:semiHidden/>
    <w:locked/>
    <w:rsid w:val="006A2F95"/>
    <w:rPr>
      <w:sz w:val="20"/>
      <w:szCs w:val="20"/>
    </w:rPr>
  </w:style>
  <w:style w:type="paragraph" w:styleId="List">
    <w:name w:val="List"/>
    <w:basedOn w:val="BodyText"/>
    <w:uiPriority w:val="99"/>
    <w:rsid w:val="000F714D"/>
  </w:style>
  <w:style w:type="paragraph" w:customStyle="1" w:styleId="Lgende1">
    <w:name w:val="Légende1"/>
    <w:basedOn w:val="Normal"/>
    <w:next w:val="Normal"/>
    <w:uiPriority w:val="99"/>
    <w:rsid w:val="000F714D"/>
    <w:pPr>
      <w:tabs>
        <w:tab w:val="left" w:pos="1985"/>
      </w:tabs>
    </w:pPr>
  </w:style>
  <w:style w:type="paragraph" w:customStyle="1" w:styleId="Index">
    <w:name w:val="Index"/>
    <w:basedOn w:val="Normal"/>
    <w:uiPriority w:val="99"/>
    <w:rsid w:val="000F714D"/>
    <w:pPr>
      <w:suppressLineNumbers/>
    </w:pPr>
  </w:style>
  <w:style w:type="paragraph" w:customStyle="1" w:styleId="Retraitnormal1">
    <w:name w:val="Retrait normal1"/>
    <w:basedOn w:val="Normal"/>
    <w:uiPriority w:val="99"/>
    <w:rsid w:val="000F714D"/>
    <w:pPr>
      <w:ind w:left="708"/>
    </w:pPr>
    <w:rPr>
      <w:rFonts w:ascii="Arial Narrow" w:hAnsi="Arial Narrow" w:cs="Arial Narrow"/>
    </w:rPr>
  </w:style>
  <w:style w:type="paragraph" w:customStyle="1" w:styleId="Corpsdetexte21">
    <w:name w:val="Corps de texte 21"/>
    <w:basedOn w:val="Normal"/>
    <w:uiPriority w:val="99"/>
    <w:rsid w:val="000F714D"/>
    <w:pPr>
      <w:jc w:val="both"/>
    </w:pPr>
  </w:style>
  <w:style w:type="paragraph" w:styleId="TOC1">
    <w:name w:val="toc 1"/>
    <w:basedOn w:val="Normal"/>
    <w:next w:val="Normal"/>
    <w:autoRedefine/>
    <w:uiPriority w:val="99"/>
    <w:semiHidden/>
    <w:rsid w:val="000F714D"/>
  </w:style>
  <w:style w:type="paragraph" w:styleId="TOC2">
    <w:name w:val="toc 2"/>
    <w:basedOn w:val="Normal"/>
    <w:next w:val="Normal"/>
    <w:autoRedefine/>
    <w:uiPriority w:val="99"/>
    <w:semiHidden/>
    <w:rsid w:val="000F714D"/>
    <w:pPr>
      <w:ind w:left="220"/>
    </w:pPr>
  </w:style>
  <w:style w:type="paragraph" w:styleId="TOC3">
    <w:name w:val="toc 3"/>
    <w:basedOn w:val="Normal"/>
    <w:next w:val="Normal"/>
    <w:autoRedefine/>
    <w:uiPriority w:val="99"/>
    <w:semiHidden/>
    <w:rsid w:val="000F714D"/>
    <w:pPr>
      <w:ind w:left="440"/>
    </w:pPr>
  </w:style>
  <w:style w:type="paragraph" w:styleId="TOC4">
    <w:name w:val="toc 4"/>
    <w:basedOn w:val="Normal"/>
    <w:next w:val="Normal"/>
    <w:autoRedefine/>
    <w:uiPriority w:val="99"/>
    <w:semiHidden/>
    <w:rsid w:val="000F714D"/>
    <w:pPr>
      <w:ind w:left="660"/>
    </w:pPr>
  </w:style>
  <w:style w:type="paragraph" w:customStyle="1" w:styleId="Style1">
    <w:name w:val="Style1"/>
    <w:basedOn w:val="Normal"/>
    <w:next w:val="Normal"/>
    <w:uiPriority w:val="99"/>
    <w:rsid w:val="000F714D"/>
    <w:pPr>
      <w:jc w:val="both"/>
    </w:pPr>
  </w:style>
  <w:style w:type="paragraph" w:customStyle="1" w:styleId="titre4">
    <w:name w:val="titre 4"/>
    <w:basedOn w:val="Heading4"/>
    <w:next w:val="SStandard"/>
    <w:uiPriority w:val="99"/>
    <w:rsid w:val="000F714D"/>
    <w:pPr>
      <w:numPr>
        <w:numId w:val="8"/>
      </w:numPr>
    </w:pPr>
  </w:style>
  <w:style w:type="paragraph" w:customStyle="1" w:styleId="SStandard">
    <w:name w:val="S Standard"/>
    <w:uiPriority w:val="99"/>
    <w:rsid w:val="000F714D"/>
    <w:pPr>
      <w:widowControl w:val="0"/>
      <w:suppressAutoHyphens/>
      <w:spacing w:before="360"/>
      <w:ind w:firstLine="1134"/>
      <w:jc w:val="both"/>
    </w:pPr>
    <w:rPr>
      <w:sz w:val="20"/>
      <w:szCs w:val="20"/>
    </w:rPr>
  </w:style>
  <w:style w:type="paragraph" w:customStyle="1" w:styleId="Retraitcorpsdetexte31">
    <w:name w:val="Retrait corps de texte 31"/>
    <w:basedOn w:val="Normal"/>
    <w:uiPriority w:val="99"/>
    <w:rsid w:val="000F714D"/>
    <w:pPr>
      <w:ind w:left="540"/>
      <w:jc w:val="both"/>
    </w:pPr>
  </w:style>
  <w:style w:type="paragraph" w:customStyle="1" w:styleId="Retraitcorpsdetexte21">
    <w:name w:val="Retrait corps de texte 21"/>
    <w:basedOn w:val="Normal"/>
    <w:uiPriority w:val="99"/>
    <w:rsid w:val="000F714D"/>
    <w:pPr>
      <w:ind w:firstLine="1418"/>
      <w:jc w:val="both"/>
    </w:pPr>
  </w:style>
  <w:style w:type="paragraph" w:styleId="FootnoteText">
    <w:name w:val="footnote text"/>
    <w:basedOn w:val="Normal"/>
    <w:link w:val="FootnoteTextChar"/>
    <w:uiPriority w:val="99"/>
    <w:semiHidden/>
    <w:rsid w:val="000F714D"/>
  </w:style>
  <w:style w:type="character" w:customStyle="1" w:styleId="FootnoteTextChar">
    <w:name w:val="Footnote Text Char"/>
    <w:basedOn w:val="DefaultParagraphFont"/>
    <w:link w:val="FootnoteText"/>
    <w:uiPriority w:val="99"/>
    <w:semiHidden/>
    <w:locked/>
    <w:rsid w:val="006A2F95"/>
    <w:rPr>
      <w:sz w:val="20"/>
      <w:szCs w:val="20"/>
    </w:rPr>
  </w:style>
  <w:style w:type="paragraph" w:styleId="Header">
    <w:name w:val="header"/>
    <w:basedOn w:val="Normal"/>
    <w:link w:val="HeaderChar"/>
    <w:uiPriority w:val="99"/>
    <w:rsid w:val="000F714D"/>
    <w:pPr>
      <w:tabs>
        <w:tab w:val="center" w:pos="4536"/>
        <w:tab w:val="right" w:pos="9072"/>
      </w:tabs>
    </w:pPr>
  </w:style>
  <w:style w:type="character" w:customStyle="1" w:styleId="HeaderChar">
    <w:name w:val="Header Char"/>
    <w:basedOn w:val="DefaultParagraphFont"/>
    <w:link w:val="Header"/>
    <w:uiPriority w:val="99"/>
    <w:semiHidden/>
    <w:locked/>
    <w:rsid w:val="006A2F95"/>
    <w:rPr>
      <w:sz w:val="20"/>
      <w:szCs w:val="20"/>
    </w:rPr>
  </w:style>
  <w:style w:type="paragraph" w:styleId="Footer">
    <w:name w:val="footer"/>
    <w:basedOn w:val="Normal"/>
    <w:link w:val="FooterChar"/>
    <w:uiPriority w:val="99"/>
    <w:rsid w:val="000F714D"/>
    <w:pPr>
      <w:tabs>
        <w:tab w:val="center" w:pos="4819"/>
        <w:tab w:val="right" w:pos="9071"/>
      </w:tabs>
    </w:pPr>
  </w:style>
  <w:style w:type="character" w:customStyle="1" w:styleId="FooterChar">
    <w:name w:val="Footer Char"/>
    <w:basedOn w:val="DefaultParagraphFont"/>
    <w:link w:val="Footer"/>
    <w:uiPriority w:val="99"/>
    <w:semiHidden/>
    <w:locked/>
    <w:rsid w:val="006A2F95"/>
    <w:rPr>
      <w:sz w:val="20"/>
      <w:szCs w:val="20"/>
    </w:rPr>
  </w:style>
  <w:style w:type="paragraph" w:styleId="BodyTextIndent">
    <w:name w:val="Body Text Indent"/>
    <w:basedOn w:val="Normal"/>
    <w:link w:val="BodyTextIndentChar"/>
    <w:uiPriority w:val="99"/>
    <w:rsid w:val="000F714D"/>
    <w:pPr>
      <w:ind w:left="540"/>
      <w:jc w:val="both"/>
    </w:pPr>
  </w:style>
  <w:style w:type="character" w:customStyle="1" w:styleId="BodyTextIndentChar">
    <w:name w:val="Body Text Indent Char"/>
    <w:basedOn w:val="DefaultParagraphFont"/>
    <w:link w:val="BodyTextIndent"/>
    <w:uiPriority w:val="99"/>
    <w:semiHidden/>
    <w:locked/>
    <w:rsid w:val="006A2F95"/>
    <w:rPr>
      <w:sz w:val="20"/>
      <w:szCs w:val="20"/>
    </w:rPr>
  </w:style>
  <w:style w:type="paragraph" w:customStyle="1" w:styleId="Listepuces21">
    <w:name w:val="Liste à puces 21"/>
    <w:basedOn w:val="Normal"/>
    <w:uiPriority w:val="99"/>
    <w:rsid w:val="000F714D"/>
    <w:pPr>
      <w:tabs>
        <w:tab w:val="left" w:pos="360"/>
      </w:tabs>
      <w:jc w:val="both"/>
    </w:pPr>
  </w:style>
  <w:style w:type="paragraph" w:customStyle="1" w:styleId="Corpsdetexte31">
    <w:name w:val="Corps de texte 31"/>
    <w:basedOn w:val="Normal"/>
    <w:uiPriority w:val="99"/>
    <w:rsid w:val="000F714D"/>
    <w:pPr>
      <w:jc w:val="both"/>
    </w:pPr>
  </w:style>
  <w:style w:type="paragraph" w:styleId="NormalWeb">
    <w:name w:val="Normal (Web)"/>
    <w:basedOn w:val="Normal"/>
    <w:uiPriority w:val="99"/>
    <w:rsid w:val="000F714D"/>
    <w:pPr>
      <w:spacing w:before="280" w:after="280"/>
    </w:pPr>
  </w:style>
  <w:style w:type="paragraph" w:customStyle="1" w:styleId="Style11">
    <w:name w:val="Style11"/>
    <w:basedOn w:val="Heading1"/>
    <w:uiPriority w:val="99"/>
    <w:rsid w:val="000F714D"/>
    <w:pPr>
      <w:widowControl w:val="0"/>
      <w:numPr>
        <w:numId w:val="0"/>
      </w:numPr>
      <w:pBdr>
        <w:bottom w:val="none" w:sz="0" w:space="0" w:color="auto"/>
      </w:pBdr>
      <w:tabs>
        <w:tab w:val="left" w:pos="1560"/>
      </w:tabs>
      <w:spacing w:before="720"/>
    </w:pPr>
  </w:style>
  <w:style w:type="paragraph" w:customStyle="1" w:styleId="Default">
    <w:name w:val="Default"/>
    <w:uiPriority w:val="99"/>
    <w:rsid w:val="000F714D"/>
    <w:pPr>
      <w:suppressAutoHyphens/>
      <w:autoSpaceDE w:val="0"/>
    </w:pPr>
    <w:rPr>
      <w:sz w:val="20"/>
      <w:szCs w:val="20"/>
    </w:rPr>
  </w:style>
  <w:style w:type="paragraph" w:styleId="TOC5">
    <w:name w:val="toc 5"/>
    <w:basedOn w:val="Normal"/>
    <w:next w:val="Normal"/>
    <w:autoRedefine/>
    <w:uiPriority w:val="99"/>
    <w:semiHidden/>
    <w:rsid w:val="000F714D"/>
    <w:pPr>
      <w:ind w:left="960"/>
    </w:pPr>
  </w:style>
  <w:style w:type="paragraph" w:styleId="TOC6">
    <w:name w:val="toc 6"/>
    <w:basedOn w:val="Normal"/>
    <w:next w:val="Normal"/>
    <w:autoRedefine/>
    <w:uiPriority w:val="99"/>
    <w:semiHidden/>
    <w:rsid w:val="000F714D"/>
    <w:pPr>
      <w:ind w:left="1200"/>
    </w:pPr>
  </w:style>
  <w:style w:type="paragraph" w:styleId="TOC7">
    <w:name w:val="toc 7"/>
    <w:basedOn w:val="Normal"/>
    <w:next w:val="Normal"/>
    <w:autoRedefine/>
    <w:uiPriority w:val="99"/>
    <w:semiHidden/>
    <w:rsid w:val="000F714D"/>
    <w:pPr>
      <w:ind w:left="1440"/>
    </w:pPr>
  </w:style>
  <w:style w:type="paragraph" w:styleId="TOC8">
    <w:name w:val="toc 8"/>
    <w:basedOn w:val="Normal"/>
    <w:next w:val="Normal"/>
    <w:autoRedefine/>
    <w:uiPriority w:val="99"/>
    <w:semiHidden/>
    <w:rsid w:val="000F714D"/>
    <w:pPr>
      <w:ind w:left="1680"/>
    </w:pPr>
  </w:style>
  <w:style w:type="paragraph" w:styleId="TOC9">
    <w:name w:val="toc 9"/>
    <w:basedOn w:val="Normal"/>
    <w:next w:val="Normal"/>
    <w:autoRedefine/>
    <w:uiPriority w:val="99"/>
    <w:semiHidden/>
    <w:rsid w:val="000F714D"/>
    <w:pPr>
      <w:ind w:left="1920"/>
    </w:pPr>
  </w:style>
  <w:style w:type="paragraph" w:customStyle="1" w:styleId="Tabledesmatiresniveau10">
    <w:name w:val="Table des matières niveau 10"/>
    <w:basedOn w:val="Index"/>
    <w:uiPriority w:val="99"/>
    <w:rsid w:val="000F714D"/>
    <w:pPr>
      <w:tabs>
        <w:tab w:val="right" w:leader="dot" w:pos="7091"/>
      </w:tabs>
      <w:ind w:left="2547"/>
    </w:pPr>
  </w:style>
  <w:style w:type="paragraph" w:customStyle="1" w:styleId="Contenudetableau">
    <w:name w:val="Contenu de tableau"/>
    <w:basedOn w:val="Normal"/>
    <w:uiPriority w:val="99"/>
    <w:rsid w:val="000F714D"/>
    <w:pPr>
      <w:suppressLineNumbers/>
    </w:pPr>
  </w:style>
  <w:style w:type="paragraph" w:customStyle="1" w:styleId="Titredetableau">
    <w:name w:val="Titre de tableau"/>
    <w:basedOn w:val="Contenudetableau"/>
    <w:uiPriority w:val="99"/>
    <w:rsid w:val="000F714D"/>
    <w:pPr>
      <w:jc w:val="center"/>
    </w:pPr>
    <w:rPr>
      <w:b/>
      <w:bCs/>
    </w:rPr>
  </w:style>
  <w:style w:type="paragraph" w:styleId="BalloonText">
    <w:name w:val="Balloon Text"/>
    <w:basedOn w:val="Normal"/>
    <w:link w:val="BalloonTextChar"/>
    <w:uiPriority w:val="99"/>
    <w:semiHidden/>
    <w:rsid w:val="000F6F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F6F5E"/>
    <w:rPr>
      <w:rFonts w:ascii="Lucida Grande" w:hAnsi="Lucida Grande" w:cs="Lucida Grande"/>
      <w:sz w:val="18"/>
      <w:szCs w:val="18"/>
    </w:rPr>
  </w:style>
  <w:style w:type="paragraph" w:styleId="ListParagraph">
    <w:name w:val="List Paragraph"/>
    <w:basedOn w:val="Normal"/>
    <w:uiPriority w:val="99"/>
    <w:qFormat/>
    <w:rsid w:val="0094522F"/>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horus-pro.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ublictendering.com/pdf/Codes_CPV_Franca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10</Pages>
  <Words>3260</Words>
  <Characters>17935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Nationale Supérieure d’Architecture de Paris la Villette</dc:title>
  <dc:subject/>
  <dc:creator>ENSAPLV</dc:creator>
  <cp:keywords/>
  <dc:description/>
  <cp:lastModifiedBy>christian.brossard</cp:lastModifiedBy>
  <cp:revision>7</cp:revision>
  <cp:lastPrinted>2018-01-09T13:05:00Z</cp:lastPrinted>
  <dcterms:created xsi:type="dcterms:W3CDTF">2018-07-04T08:29:00Z</dcterms:created>
  <dcterms:modified xsi:type="dcterms:W3CDTF">2018-07-09T11:11:00Z</dcterms:modified>
</cp:coreProperties>
</file>